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73" w:rsidRDefault="00AE2597" w:rsidP="00315773">
      <w:pPr>
        <w:jc w:val="center"/>
        <w:rPr>
          <w:rFonts w:ascii="Times New Roman" w:hAnsi="Times New Roman" w:cs="Times New Roman"/>
          <w:b/>
          <w:sz w:val="24"/>
          <w:szCs w:val="24"/>
          <w:lang w:val="lt-LT"/>
        </w:rPr>
      </w:pPr>
      <w:bookmarkStart w:id="0" w:name="_GoBack"/>
      <w:bookmarkEnd w:id="0"/>
      <w:r>
        <w:rPr>
          <w:rFonts w:ascii="Times New Roman" w:hAnsi="Times New Roman" w:cs="Times New Roman"/>
          <w:b/>
          <w:noProof/>
          <w:sz w:val="24"/>
          <w:szCs w:val="24"/>
          <w:lang w:val="lt-LT" w:eastAsia="lt-LT"/>
        </w:rPr>
        <w:drawing>
          <wp:anchor distT="0" distB="0" distL="114300" distR="114300" simplePos="0" relativeHeight="251658240" behindDoc="0" locked="0" layoutInCell="1" allowOverlap="1">
            <wp:simplePos x="0" y="0"/>
            <wp:positionH relativeFrom="column">
              <wp:posOffset>2181225</wp:posOffset>
            </wp:positionH>
            <wp:positionV relativeFrom="paragraph">
              <wp:posOffset>-47625</wp:posOffset>
            </wp:positionV>
            <wp:extent cx="1695450" cy="1653985"/>
            <wp:effectExtent l="0" t="0" r="0" b="3810"/>
            <wp:wrapNone/>
            <wp:docPr id="2" name="Picture 2" descr="C:\Users\User\Desktop\Logo\VVSBLOG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VVSBLOGB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5450" cy="165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Pr="00AE2597" w:rsidRDefault="00C27D5D" w:rsidP="00315773">
      <w:pPr>
        <w:jc w:val="center"/>
        <w:rPr>
          <w:rFonts w:ascii="Times New Roman" w:hAnsi="Times New Roman" w:cs="Times New Roman"/>
          <w:b/>
          <w:sz w:val="28"/>
          <w:szCs w:val="24"/>
          <w:lang w:val="lt-LT"/>
        </w:rPr>
      </w:pPr>
      <w:r w:rsidRPr="00AE2597">
        <w:rPr>
          <w:rFonts w:ascii="Times New Roman" w:hAnsi="Times New Roman" w:cs="Times New Roman"/>
          <w:b/>
          <w:sz w:val="28"/>
          <w:szCs w:val="24"/>
          <w:lang w:val="lt-LT"/>
        </w:rPr>
        <w:t xml:space="preserve">VILNIAUS RAJONO SAVIVALDYBĖJE </w:t>
      </w:r>
      <w:r w:rsidR="00315773" w:rsidRPr="00AE2597">
        <w:rPr>
          <w:rFonts w:ascii="Times New Roman" w:hAnsi="Times New Roman" w:cs="Times New Roman"/>
          <w:b/>
          <w:sz w:val="28"/>
          <w:szCs w:val="24"/>
          <w:lang w:val="lt-LT"/>
        </w:rPr>
        <w:t>PRIEŠMOKYKLINES IR IKIMOKYKLINES UGDYMO ĮSTAIGAS LANKANČIŲ VAIKŲ SVEIKATOS BŪKLĖS 2015 METŲ ANALIZĖ</w:t>
      </w:r>
    </w:p>
    <w:p w:rsidR="00315773" w:rsidRDefault="00315773" w:rsidP="00315773">
      <w:pPr>
        <w:jc w:val="center"/>
        <w:rPr>
          <w:rFonts w:ascii="Times New Roman" w:hAnsi="Times New Roman" w:cs="Times New Roman"/>
          <w:b/>
          <w:sz w:val="24"/>
          <w:szCs w:val="24"/>
          <w:lang w:val="lt-LT"/>
        </w:rPr>
      </w:pPr>
    </w:p>
    <w:p w:rsidR="00315773" w:rsidRDefault="00315773" w:rsidP="00315773">
      <w:pPr>
        <w:jc w:val="center"/>
        <w:rPr>
          <w:rFonts w:ascii="Times New Roman" w:hAnsi="Times New Roman" w:cs="Times New Roman"/>
          <w:b/>
          <w:sz w:val="24"/>
          <w:szCs w:val="24"/>
          <w:lang w:val="lt-LT"/>
        </w:rPr>
      </w:pPr>
    </w:p>
    <w:p w:rsidR="00315773" w:rsidRDefault="00315773" w:rsidP="00315773">
      <w:pPr>
        <w:rPr>
          <w:rFonts w:ascii="Times New Roman" w:hAnsi="Times New Roman" w:cs="Times New Roman"/>
          <w:sz w:val="24"/>
          <w:szCs w:val="24"/>
          <w:lang w:val="lt-LT"/>
        </w:rPr>
      </w:pPr>
    </w:p>
    <w:p w:rsidR="00AE2597" w:rsidRDefault="00AE2597" w:rsidP="00315773">
      <w:pPr>
        <w:rPr>
          <w:rFonts w:ascii="Times New Roman" w:hAnsi="Times New Roman" w:cs="Times New Roman"/>
          <w:sz w:val="24"/>
          <w:szCs w:val="24"/>
          <w:lang w:val="lt-LT"/>
        </w:rPr>
      </w:pPr>
    </w:p>
    <w:p w:rsidR="00AE2597" w:rsidRDefault="00AE2597" w:rsidP="00315773">
      <w:pPr>
        <w:rPr>
          <w:rFonts w:ascii="Times New Roman" w:hAnsi="Times New Roman" w:cs="Times New Roman"/>
          <w:sz w:val="24"/>
          <w:szCs w:val="24"/>
          <w:lang w:val="lt-LT"/>
        </w:rPr>
      </w:pPr>
    </w:p>
    <w:p w:rsidR="00AE2597" w:rsidRDefault="00AE2597" w:rsidP="00315773">
      <w:pPr>
        <w:rPr>
          <w:rFonts w:ascii="Times New Roman" w:hAnsi="Times New Roman" w:cs="Times New Roman"/>
          <w:sz w:val="24"/>
          <w:szCs w:val="24"/>
          <w:lang w:val="lt-LT"/>
        </w:rPr>
      </w:pPr>
    </w:p>
    <w:p w:rsidR="00AE2597" w:rsidRDefault="00AE2597" w:rsidP="00315773">
      <w:pPr>
        <w:rPr>
          <w:rFonts w:ascii="Times New Roman" w:hAnsi="Times New Roman" w:cs="Times New Roman"/>
          <w:sz w:val="24"/>
          <w:szCs w:val="24"/>
          <w:lang w:val="lt-LT"/>
        </w:rPr>
      </w:pPr>
    </w:p>
    <w:p w:rsidR="00AE2597" w:rsidRDefault="00AE2597" w:rsidP="00315773">
      <w:pPr>
        <w:rPr>
          <w:rFonts w:ascii="Times New Roman" w:hAnsi="Times New Roman" w:cs="Times New Roman"/>
          <w:sz w:val="24"/>
          <w:szCs w:val="24"/>
          <w:lang w:val="lt-LT"/>
        </w:rPr>
      </w:pPr>
    </w:p>
    <w:p w:rsidR="00AE2597" w:rsidRDefault="00AE2597" w:rsidP="00315773">
      <w:pPr>
        <w:rPr>
          <w:rFonts w:ascii="Times New Roman" w:hAnsi="Times New Roman" w:cs="Times New Roman"/>
          <w:sz w:val="24"/>
          <w:szCs w:val="24"/>
          <w:lang w:val="lt-LT"/>
        </w:rPr>
      </w:pPr>
    </w:p>
    <w:p w:rsidR="00AE2597" w:rsidRDefault="00AE2597" w:rsidP="00315773">
      <w:pPr>
        <w:rPr>
          <w:rFonts w:ascii="Times New Roman" w:hAnsi="Times New Roman" w:cs="Times New Roman"/>
          <w:sz w:val="24"/>
          <w:szCs w:val="24"/>
          <w:lang w:val="lt-LT"/>
        </w:rPr>
      </w:pPr>
    </w:p>
    <w:p w:rsidR="00AE2597" w:rsidRDefault="00AE2597" w:rsidP="00315773">
      <w:pPr>
        <w:rPr>
          <w:rFonts w:ascii="Times New Roman" w:hAnsi="Times New Roman" w:cs="Times New Roman"/>
          <w:sz w:val="24"/>
          <w:szCs w:val="24"/>
          <w:lang w:val="lt-LT"/>
        </w:rPr>
      </w:pPr>
    </w:p>
    <w:p w:rsidR="00AE2597" w:rsidRDefault="00AE2597" w:rsidP="00315773">
      <w:pPr>
        <w:rPr>
          <w:rFonts w:ascii="Times New Roman" w:hAnsi="Times New Roman" w:cs="Times New Roman"/>
          <w:sz w:val="24"/>
          <w:szCs w:val="24"/>
          <w:lang w:val="lt-LT"/>
        </w:rPr>
      </w:pPr>
    </w:p>
    <w:p w:rsidR="00AE2597" w:rsidRPr="00AE2597" w:rsidRDefault="00AE2597" w:rsidP="00AE2597">
      <w:pPr>
        <w:jc w:val="center"/>
        <w:rPr>
          <w:rFonts w:ascii="Times New Roman" w:hAnsi="Times New Roman" w:cs="Times New Roman"/>
          <w:b/>
          <w:sz w:val="28"/>
          <w:szCs w:val="24"/>
          <w:lang w:val="lt-LT"/>
        </w:rPr>
      </w:pPr>
    </w:p>
    <w:p w:rsidR="00AE2597" w:rsidRPr="00AE2597" w:rsidRDefault="00AE2597" w:rsidP="00AE2597">
      <w:pPr>
        <w:jc w:val="center"/>
        <w:rPr>
          <w:rFonts w:ascii="Times New Roman" w:hAnsi="Times New Roman" w:cs="Times New Roman"/>
          <w:b/>
          <w:sz w:val="28"/>
          <w:szCs w:val="24"/>
          <w:lang w:val="lt-LT"/>
        </w:rPr>
      </w:pPr>
      <w:r w:rsidRPr="00AE2597">
        <w:rPr>
          <w:rFonts w:ascii="Times New Roman" w:hAnsi="Times New Roman" w:cs="Times New Roman"/>
          <w:b/>
          <w:sz w:val="28"/>
          <w:szCs w:val="24"/>
          <w:lang w:val="lt-LT"/>
        </w:rPr>
        <w:t>Vilnius, 2016</w:t>
      </w:r>
    </w:p>
    <w:p w:rsidR="00315773" w:rsidRPr="004118C0" w:rsidRDefault="00315773" w:rsidP="00315773">
      <w:pPr>
        <w:rPr>
          <w:rFonts w:ascii="Times New Roman" w:hAnsi="Times New Roman" w:cs="Times New Roman"/>
          <w:b/>
          <w:sz w:val="24"/>
          <w:szCs w:val="24"/>
          <w:lang w:val="lt-LT"/>
        </w:rPr>
      </w:pPr>
      <w:r w:rsidRPr="004118C0">
        <w:rPr>
          <w:rFonts w:ascii="Times New Roman" w:hAnsi="Times New Roman" w:cs="Times New Roman"/>
          <w:b/>
          <w:sz w:val="24"/>
          <w:szCs w:val="24"/>
          <w:lang w:val="lt-LT"/>
        </w:rPr>
        <w:lastRenderedPageBreak/>
        <w:t>ĮVADAS</w:t>
      </w:r>
    </w:p>
    <w:p w:rsidR="00315773" w:rsidRDefault="00315773" w:rsidP="00315773">
      <w:pPr>
        <w:ind w:firstLine="720"/>
        <w:jc w:val="both"/>
        <w:rPr>
          <w:rFonts w:ascii="Times New Roman" w:hAnsi="Times New Roman" w:cs="Times New Roman"/>
          <w:sz w:val="24"/>
          <w:szCs w:val="24"/>
          <w:lang w:val="lt-LT"/>
        </w:rPr>
      </w:pPr>
    </w:p>
    <w:p w:rsidR="00315773" w:rsidRDefault="00315773" w:rsidP="00315773">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Kasmet, </w:t>
      </w:r>
      <w:r w:rsidRPr="004A36A5">
        <w:rPr>
          <w:rFonts w:ascii="Times New Roman" w:hAnsi="Times New Roman" w:cs="Times New Roman"/>
          <w:sz w:val="24"/>
          <w:szCs w:val="24"/>
          <w:lang w:val="lt-LT"/>
        </w:rPr>
        <w:t xml:space="preserve">vadovaujantis </w:t>
      </w:r>
      <w:r w:rsidRPr="004A36A5">
        <w:rPr>
          <w:rFonts w:ascii="Times New Roman" w:hAnsi="Times New Roman" w:cs="Times New Roman"/>
          <w:i/>
          <w:sz w:val="24"/>
          <w:szCs w:val="24"/>
          <w:lang w:val="lt-LT"/>
        </w:rPr>
        <w:t>Lietuvos Respublikos sveikatos apsaugos ministro 2010 m. balandžio 22 d. įsakymu Nr. V-313 patvirtinta Lietuvos higienos norma HN 75:2010 „Įstaiga, vykdanti ikimokyklinio ir (ar) priešmokyklinio ugdymo programą. Bendrieji sveikatos saugos reikalavimai“</w:t>
      </w:r>
      <w:r>
        <w:rPr>
          <w:rFonts w:ascii="Times New Roman" w:hAnsi="Times New Roman" w:cs="Times New Roman"/>
          <w:sz w:val="24"/>
          <w:szCs w:val="24"/>
          <w:lang w:val="lt-LT"/>
        </w:rPr>
        <w:t xml:space="preserve">, vykdomi periodiniai vaikų sveikatos patikrinimai. Higienos normoje nurodyta: priimant </w:t>
      </w:r>
      <w:r w:rsidRPr="007B15AD">
        <w:rPr>
          <w:rFonts w:ascii="Times New Roman" w:hAnsi="Times New Roman" w:cs="Times New Roman"/>
          <w:sz w:val="24"/>
          <w:szCs w:val="24"/>
          <w:lang w:val="lt-LT"/>
        </w:rPr>
        <w:t xml:space="preserve">vaiką į </w:t>
      </w:r>
      <w:r>
        <w:rPr>
          <w:rFonts w:ascii="Times New Roman" w:hAnsi="Times New Roman" w:cs="Times New Roman"/>
          <w:sz w:val="24"/>
          <w:szCs w:val="24"/>
          <w:lang w:val="lt-LT"/>
        </w:rPr>
        <w:t xml:space="preserve">ugdymo </w:t>
      </w:r>
      <w:r w:rsidRPr="007B15AD">
        <w:rPr>
          <w:rFonts w:ascii="Times New Roman" w:hAnsi="Times New Roman" w:cs="Times New Roman"/>
          <w:sz w:val="24"/>
          <w:szCs w:val="24"/>
          <w:lang w:val="lt-LT"/>
        </w:rPr>
        <w:t>įstaigą ir vėliau</w:t>
      </w:r>
      <w:r>
        <w:rPr>
          <w:rFonts w:ascii="Times New Roman" w:hAnsi="Times New Roman" w:cs="Times New Roman"/>
          <w:sz w:val="24"/>
          <w:szCs w:val="24"/>
          <w:lang w:val="lt-LT"/>
        </w:rPr>
        <w:t>,</w:t>
      </w:r>
      <w:r w:rsidRPr="007B15AD">
        <w:rPr>
          <w:rFonts w:ascii="Times New Roman" w:hAnsi="Times New Roman" w:cs="Times New Roman"/>
          <w:sz w:val="24"/>
          <w:szCs w:val="24"/>
          <w:lang w:val="lt-LT"/>
        </w:rPr>
        <w:t xml:space="preserve"> kiekvienais metais turi būti pateiktas </w:t>
      </w:r>
      <w:r w:rsidRPr="004A36A5">
        <w:rPr>
          <w:rFonts w:ascii="Times New Roman" w:hAnsi="Times New Roman" w:cs="Times New Roman"/>
          <w:i/>
          <w:sz w:val="24"/>
          <w:szCs w:val="24"/>
          <w:lang w:val="lt-LT"/>
        </w:rPr>
        <w:t>Vaiko sveikatos pažymėjimas (forma Nr. 027 1/a), patvirtintas Lietuvos Respublikos sveikatos apsaugos ministro 2013 m. gegužės 16 d. įsakymu Nr. V-507</w:t>
      </w:r>
      <w:r w:rsidRPr="007B15AD">
        <w:rPr>
          <w:rFonts w:ascii="Times New Roman" w:hAnsi="Times New Roman" w:cs="Times New Roman"/>
          <w:sz w:val="24"/>
          <w:szCs w:val="24"/>
          <w:lang w:val="lt-LT"/>
        </w:rPr>
        <w:t xml:space="preserve">. Šioje formoje gydytojas įrašo pagrindinius vaiko sveikatos būklės duomenis: ūgį, svorį, kraujospūdį, klausos, regos, kaulų ir raumenų, kvėpavimo, nervų ir kitų organizmo sistemų sutrikimus. </w:t>
      </w:r>
      <w:r>
        <w:rPr>
          <w:rFonts w:ascii="Times New Roman" w:hAnsi="Times New Roman" w:cs="Times New Roman"/>
          <w:sz w:val="24"/>
          <w:szCs w:val="24"/>
          <w:lang w:val="lt-LT"/>
        </w:rPr>
        <w:t>Vaiko sveikatos pažymėjime specialią dalį pildo ir gydytojas odontologas, įvertindamas dantų ir žandikaulių būklę.</w:t>
      </w:r>
      <w:r w:rsidRPr="00190E45">
        <w:rPr>
          <w:rFonts w:ascii="Times New Roman" w:hAnsi="Times New Roman" w:cs="Times New Roman"/>
          <w:sz w:val="24"/>
          <w:szCs w:val="24"/>
          <w:lang w:val="lt-LT"/>
        </w:rPr>
        <w:t xml:space="preserve"> </w:t>
      </w:r>
    </w:p>
    <w:p w:rsidR="00315773" w:rsidRDefault="00315773" w:rsidP="00315773">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Remiantis privalomo vaikų sveikatos patikrinimo rezultatais galima vertinti vaikų sveikatos būklę, sveikatos sutrikimų apimtis ir charakteristikas, nustatyti rizikos grupes, stebėti pokyčių tendencijas, tinkamai planuoti sveikatos sutrikimų prevenciją ir vertinti jos poveikį. </w:t>
      </w:r>
    </w:p>
    <w:p w:rsidR="00315773" w:rsidRPr="007B15AD" w:rsidRDefault="00315773" w:rsidP="00315773">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Vadovaujantis duomenimis, surinktais pagal šią apskaitos formą,</w:t>
      </w:r>
      <w:r w:rsidRPr="007B15AD">
        <w:rPr>
          <w:rFonts w:ascii="Times New Roman" w:hAnsi="Times New Roman" w:cs="Times New Roman"/>
          <w:sz w:val="24"/>
          <w:szCs w:val="24"/>
          <w:lang w:val="lt-LT"/>
        </w:rPr>
        <w:t xml:space="preserve"> Vilniaus miesto savivaldybės visuomenės sveikatos biuras (toliau – Biuras) atliko 2015 metų vaikų sveikatos būklės analizę kiekvienoje vaikų ugdymo įstaigoje. Šiame dokumente supažindiname su apibendrintais vaikų sveikatos būklės rezultatais. </w:t>
      </w:r>
    </w:p>
    <w:p w:rsidR="00315773" w:rsidRPr="00456A35" w:rsidRDefault="00315773" w:rsidP="00315773">
      <w:pPr>
        <w:ind w:firstLine="720"/>
        <w:jc w:val="center"/>
        <w:rPr>
          <w:rFonts w:ascii="Times New Roman" w:hAnsi="Times New Roman" w:cs="Times New Roman"/>
          <w:sz w:val="24"/>
          <w:szCs w:val="24"/>
          <w:lang w:val="lt-LT"/>
        </w:rPr>
      </w:pPr>
    </w:p>
    <w:p w:rsidR="00315773" w:rsidRDefault="00315773" w:rsidP="00315773">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315773" w:rsidRDefault="00315773" w:rsidP="00315773">
      <w:pPr>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 xml:space="preserve">PRIEŠMOKYKLINES IR IKIMOKYKLINES UGDYMO ĮSTAIGAS </w:t>
      </w:r>
      <w:r w:rsidRPr="00456A35">
        <w:rPr>
          <w:rFonts w:ascii="Times New Roman" w:hAnsi="Times New Roman" w:cs="Times New Roman"/>
          <w:b/>
          <w:sz w:val="24"/>
          <w:szCs w:val="24"/>
          <w:lang w:val="lt-LT"/>
        </w:rPr>
        <w:t>LANKANČIŲ VAIKŲ</w:t>
      </w:r>
      <w:r>
        <w:rPr>
          <w:rFonts w:ascii="Times New Roman" w:hAnsi="Times New Roman" w:cs="Times New Roman"/>
          <w:b/>
          <w:sz w:val="24"/>
          <w:szCs w:val="24"/>
          <w:lang w:val="lt-LT"/>
        </w:rPr>
        <w:t xml:space="preserve"> FIZINĖS BŪKLĖS ĮVERTI</w:t>
      </w:r>
      <w:r w:rsidR="00AE2597">
        <w:rPr>
          <w:rFonts w:ascii="Times New Roman" w:hAnsi="Times New Roman" w:cs="Times New Roman"/>
          <w:b/>
          <w:sz w:val="24"/>
          <w:szCs w:val="24"/>
          <w:lang w:val="lt-LT"/>
        </w:rPr>
        <w:t>NI</w:t>
      </w:r>
      <w:r>
        <w:rPr>
          <w:rFonts w:ascii="Times New Roman" w:hAnsi="Times New Roman" w:cs="Times New Roman"/>
          <w:b/>
          <w:sz w:val="24"/>
          <w:szCs w:val="24"/>
          <w:lang w:val="lt-LT"/>
        </w:rPr>
        <w:t>MAS</w:t>
      </w:r>
    </w:p>
    <w:p w:rsidR="00315773" w:rsidRDefault="00315773" w:rsidP="00315773">
      <w:pPr>
        <w:jc w:val="center"/>
        <w:rPr>
          <w:rFonts w:ascii="Times New Roman" w:hAnsi="Times New Roman" w:cs="Times New Roman"/>
          <w:sz w:val="24"/>
          <w:szCs w:val="24"/>
          <w:lang w:val="lt-LT"/>
        </w:rPr>
      </w:pPr>
    </w:p>
    <w:p w:rsidR="00315773" w:rsidRPr="00FA3572" w:rsidRDefault="00315773" w:rsidP="00315773">
      <w:pPr>
        <w:spacing w:line="276" w:lineRule="auto"/>
        <w:ind w:firstLine="720"/>
        <w:jc w:val="both"/>
        <w:rPr>
          <w:rFonts w:ascii="Times New Roman" w:hAnsi="Times New Roman" w:cs="Times New Roman"/>
          <w:sz w:val="24"/>
          <w:szCs w:val="24"/>
          <w:lang w:val="lt-LT"/>
        </w:rPr>
      </w:pPr>
      <w:r w:rsidRPr="00456A35">
        <w:rPr>
          <w:rFonts w:ascii="Times New Roman" w:hAnsi="Times New Roman" w:cs="Times New Roman"/>
          <w:sz w:val="24"/>
          <w:szCs w:val="24"/>
          <w:lang w:val="lt-LT"/>
        </w:rPr>
        <w:t xml:space="preserve">Vilniaus </w:t>
      </w:r>
      <w:r>
        <w:rPr>
          <w:rFonts w:ascii="Times New Roman" w:hAnsi="Times New Roman" w:cs="Times New Roman"/>
          <w:sz w:val="24"/>
          <w:szCs w:val="24"/>
          <w:lang w:val="lt-LT"/>
        </w:rPr>
        <w:t>rajono</w:t>
      </w:r>
      <w:r w:rsidRPr="00456A35">
        <w:rPr>
          <w:rFonts w:ascii="Times New Roman" w:hAnsi="Times New Roman" w:cs="Times New Roman"/>
          <w:sz w:val="24"/>
          <w:szCs w:val="24"/>
          <w:lang w:val="lt-LT"/>
        </w:rPr>
        <w:t xml:space="preserve"> savivaldybėje 2015</w:t>
      </w:r>
      <w:r w:rsidR="00EC755F">
        <w:rPr>
          <w:rFonts w:ascii="Times New Roman" w:hAnsi="Times New Roman" w:cs="Times New Roman"/>
          <w:sz w:val="24"/>
          <w:szCs w:val="24"/>
          <w:lang w:val="lt-LT"/>
        </w:rPr>
        <w:t xml:space="preserve"> – </w:t>
      </w:r>
      <w:r w:rsidRPr="00456A35">
        <w:rPr>
          <w:rFonts w:ascii="Times New Roman" w:hAnsi="Times New Roman" w:cs="Times New Roman"/>
          <w:sz w:val="24"/>
          <w:szCs w:val="24"/>
          <w:lang w:val="lt-LT"/>
        </w:rPr>
        <w:t xml:space="preserve">2016 m. m. </w:t>
      </w:r>
      <w:r>
        <w:rPr>
          <w:rFonts w:ascii="Times New Roman" w:hAnsi="Times New Roman" w:cs="Times New Roman"/>
          <w:color w:val="000000"/>
          <w:sz w:val="24"/>
          <w:szCs w:val="24"/>
          <w:lang w:val="lt-LT"/>
        </w:rPr>
        <w:t>sveikatos pažymų suvestines (forma</w:t>
      </w:r>
      <w:r w:rsidRPr="00456A35">
        <w:rPr>
          <w:rFonts w:ascii="Times New Roman" w:hAnsi="Times New Roman" w:cs="Times New Roman"/>
          <w:color w:val="000000"/>
          <w:sz w:val="24"/>
          <w:szCs w:val="24"/>
          <w:lang w:val="lt-LT"/>
        </w:rPr>
        <w:t xml:space="preserve"> Nr. 027-1/a „Vaiko sveikatos pažymėjimas“ (toliau – Pažymėjimas)</w:t>
      </w:r>
      <w:r>
        <w:rPr>
          <w:rFonts w:ascii="Times New Roman" w:hAnsi="Times New Roman" w:cs="Times New Roman"/>
          <w:color w:val="000000"/>
          <w:sz w:val="24"/>
          <w:szCs w:val="24"/>
          <w:lang w:val="lt-LT"/>
        </w:rPr>
        <w:t xml:space="preserve">) </w:t>
      </w:r>
      <w:r>
        <w:rPr>
          <w:rFonts w:ascii="Times New Roman" w:hAnsi="Times New Roman" w:cs="Times New Roman"/>
          <w:sz w:val="24"/>
          <w:szCs w:val="24"/>
          <w:lang w:val="lt-LT"/>
        </w:rPr>
        <w:t xml:space="preserve">pateikė </w:t>
      </w:r>
      <w:r w:rsidRPr="00FA3572">
        <w:rPr>
          <w:rFonts w:ascii="Times New Roman" w:hAnsi="Times New Roman" w:cs="Times New Roman"/>
          <w:sz w:val="24"/>
          <w:szCs w:val="24"/>
          <w:lang w:val="lt-LT"/>
        </w:rPr>
        <w:t>11 priešmokyklinio ir ikimokyklinio ugdymo įstaig</w:t>
      </w:r>
      <w:r>
        <w:rPr>
          <w:rFonts w:ascii="Times New Roman" w:hAnsi="Times New Roman" w:cs="Times New Roman"/>
          <w:sz w:val="24"/>
          <w:szCs w:val="24"/>
          <w:lang w:val="lt-LT"/>
        </w:rPr>
        <w:t>ų</w:t>
      </w:r>
      <w:r w:rsidRPr="00FA3572">
        <w:rPr>
          <w:rFonts w:ascii="Times New Roman" w:hAnsi="Times New Roman" w:cs="Times New Roman"/>
          <w:sz w:val="24"/>
          <w:szCs w:val="24"/>
          <w:lang w:val="lt-LT"/>
        </w:rPr>
        <w:t xml:space="preserve"> (</w:t>
      </w:r>
      <w:r>
        <w:rPr>
          <w:rFonts w:ascii="Times New Roman" w:hAnsi="Times New Roman" w:cs="Times New Roman"/>
          <w:sz w:val="24"/>
          <w:szCs w:val="24"/>
          <w:lang w:val="lt-LT"/>
        </w:rPr>
        <w:t>5</w:t>
      </w:r>
      <w:r w:rsidRPr="00FA3572">
        <w:rPr>
          <w:rFonts w:ascii="Times New Roman" w:hAnsi="Times New Roman" w:cs="Times New Roman"/>
          <w:sz w:val="24"/>
          <w:szCs w:val="24"/>
          <w:lang w:val="lt-LT"/>
        </w:rPr>
        <w:t xml:space="preserve"> lopšeliai – darželiai,</w:t>
      </w:r>
      <w:r>
        <w:rPr>
          <w:rFonts w:ascii="Times New Roman" w:hAnsi="Times New Roman" w:cs="Times New Roman"/>
          <w:sz w:val="24"/>
          <w:szCs w:val="24"/>
          <w:lang w:val="lt-LT"/>
        </w:rPr>
        <w:t xml:space="preserve"> 3</w:t>
      </w:r>
      <w:r w:rsidRPr="00FA3572">
        <w:rPr>
          <w:rFonts w:ascii="Times New Roman" w:hAnsi="Times New Roman" w:cs="Times New Roman"/>
          <w:sz w:val="24"/>
          <w:szCs w:val="24"/>
          <w:lang w:val="lt-LT"/>
        </w:rPr>
        <w:t xml:space="preserve"> darželiai</w:t>
      </w:r>
      <w:r>
        <w:rPr>
          <w:rFonts w:ascii="Times New Roman" w:hAnsi="Times New Roman" w:cs="Times New Roman"/>
          <w:sz w:val="24"/>
          <w:szCs w:val="24"/>
          <w:lang w:val="lt-LT"/>
        </w:rPr>
        <w:t>,</w:t>
      </w:r>
      <w:r w:rsidRPr="00FA3572">
        <w:rPr>
          <w:rFonts w:ascii="Times New Roman" w:hAnsi="Times New Roman" w:cs="Times New Roman"/>
          <w:sz w:val="24"/>
          <w:szCs w:val="24"/>
          <w:lang w:val="lt-LT"/>
        </w:rPr>
        <w:t xml:space="preserve"> </w:t>
      </w:r>
      <w:r>
        <w:rPr>
          <w:rFonts w:ascii="Times New Roman" w:hAnsi="Times New Roman" w:cs="Times New Roman"/>
          <w:sz w:val="24"/>
          <w:szCs w:val="24"/>
          <w:lang w:val="lt-LT"/>
        </w:rPr>
        <w:t>3</w:t>
      </w:r>
      <w:r w:rsidRPr="00FA3572">
        <w:rPr>
          <w:rFonts w:ascii="Times New Roman" w:hAnsi="Times New Roman" w:cs="Times New Roman"/>
          <w:sz w:val="24"/>
          <w:szCs w:val="24"/>
          <w:lang w:val="lt-LT"/>
        </w:rPr>
        <w:t xml:space="preserve"> mokyklos – darželiai).</w:t>
      </w:r>
    </w:p>
    <w:p w:rsidR="00315773" w:rsidRDefault="00315773" w:rsidP="00315773">
      <w:pPr>
        <w:spacing w:line="276"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Vaikų pasiskirstymas</w:t>
      </w:r>
      <w:r w:rsidRPr="00332B3C">
        <w:rPr>
          <w:rFonts w:ascii="Times New Roman" w:hAnsi="Times New Roman" w:cs="Times New Roman"/>
          <w:sz w:val="24"/>
          <w:szCs w:val="24"/>
          <w:lang w:val="lt-LT"/>
        </w:rPr>
        <w:t xml:space="preserve"> pagal ugdymo įstaigą</w:t>
      </w:r>
      <w:r>
        <w:rPr>
          <w:rFonts w:ascii="Times New Roman" w:hAnsi="Times New Roman" w:cs="Times New Roman"/>
          <w:sz w:val="24"/>
          <w:szCs w:val="24"/>
          <w:lang w:val="lt-LT"/>
        </w:rPr>
        <w:t>:</w:t>
      </w:r>
      <w:r w:rsidRPr="00332B3C">
        <w:rPr>
          <w:rFonts w:ascii="Times New Roman" w:hAnsi="Times New Roman" w:cs="Times New Roman"/>
          <w:sz w:val="24"/>
          <w:szCs w:val="24"/>
          <w:lang w:val="lt-LT"/>
        </w:rPr>
        <w:t xml:space="preserve"> lopšeliu</w:t>
      </w:r>
      <w:r>
        <w:rPr>
          <w:rFonts w:ascii="Times New Roman" w:hAnsi="Times New Roman" w:cs="Times New Roman"/>
          <w:sz w:val="24"/>
          <w:szCs w:val="24"/>
          <w:lang w:val="lt-LT"/>
        </w:rPr>
        <w:t>s</w:t>
      </w:r>
      <w:r w:rsidRPr="00332B3C">
        <w:rPr>
          <w:rFonts w:ascii="Times New Roman" w:hAnsi="Times New Roman" w:cs="Times New Roman"/>
          <w:sz w:val="24"/>
          <w:szCs w:val="24"/>
          <w:lang w:val="lt-LT"/>
        </w:rPr>
        <w:t xml:space="preserve"> </w:t>
      </w:r>
      <w:r>
        <w:rPr>
          <w:rFonts w:ascii="Times New Roman" w:hAnsi="Times New Roman" w:cs="Times New Roman"/>
          <w:sz w:val="24"/>
          <w:szCs w:val="24"/>
          <w:lang w:val="lt-LT"/>
        </w:rPr>
        <w:t>– darželius lankė 563 (42,20</w:t>
      </w:r>
      <w:r w:rsidRPr="00332B3C">
        <w:rPr>
          <w:rFonts w:ascii="Times New Roman" w:hAnsi="Times New Roman" w:cs="Times New Roman"/>
          <w:sz w:val="24"/>
          <w:szCs w:val="24"/>
          <w:lang w:val="lt-LT"/>
        </w:rPr>
        <w:t xml:space="preserve"> proc.)</w:t>
      </w:r>
      <w:r>
        <w:rPr>
          <w:rFonts w:ascii="Times New Roman" w:hAnsi="Times New Roman" w:cs="Times New Roman"/>
          <w:sz w:val="24"/>
          <w:szCs w:val="24"/>
          <w:lang w:val="lt-LT"/>
        </w:rPr>
        <w:t>, darželius – 468 (35,08</w:t>
      </w:r>
      <w:r w:rsidRPr="00332B3C">
        <w:rPr>
          <w:rFonts w:ascii="Times New Roman" w:hAnsi="Times New Roman" w:cs="Times New Roman"/>
          <w:sz w:val="24"/>
          <w:szCs w:val="24"/>
          <w:lang w:val="lt-LT"/>
        </w:rPr>
        <w:t xml:space="preserve"> proc.)</w:t>
      </w:r>
      <w:r>
        <w:rPr>
          <w:rFonts w:ascii="Times New Roman" w:hAnsi="Times New Roman" w:cs="Times New Roman"/>
          <w:sz w:val="24"/>
          <w:szCs w:val="24"/>
          <w:lang w:val="lt-LT"/>
        </w:rPr>
        <w:t>,</w:t>
      </w:r>
      <w:r w:rsidRPr="00332B3C">
        <w:rPr>
          <w:rFonts w:ascii="Times New Roman" w:hAnsi="Times New Roman" w:cs="Times New Roman"/>
          <w:sz w:val="24"/>
          <w:szCs w:val="24"/>
          <w:lang w:val="lt-LT"/>
        </w:rPr>
        <w:t xml:space="preserve"> mokyklas </w:t>
      </w:r>
      <w:r>
        <w:rPr>
          <w:rFonts w:ascii="Times New Roman" w:hAnsi="Times New Roman" w:cs="Times New Roman"/>
          <w:sz w:val="24"/>
          <w:szCs w:val="24"/>
          <w:lang w:val="lt-LT"/>
        </w:rPr>
        <w:t>– darželius – 303 (22,71</w:t>
      </w:r>
      <w:r w:rsidRPr="00332B3C">
        <w:rPr>
          <w:rFonts w:ascii="Times New Roman" w:hAnsi="Times New Roman" w:cs="Times New Roman"/>
          <w:sz w:val="24"/>
          <w:szCs w:val="24"/>
          <w:lang w:val="lt-LT"/>
        </w:rPr>
        <w:t xml:space="preserve"> proc.)</w:t>
      </w:r>
      <w:r>
        <w:rPr>
          <w:rFonts w:ascii="Times New Roman" w:hAnsi="Times New Roman" w:cs="Times New Roman"/>
          <w:sz w:val="24"/>
          <w:szCs w:val="24"/>
          <w:lang w:val="lt-LT"/>
        </w:rPr>
        <w:t xml:space="preserve">. </w:t>
      </w:r>
    </w:p>
    <w:p w:rsidR="00315773" w:rsidRPr="00FA3572" w:rsidRDefault="00315773" w:rsidP="00731F0F">
      <w:pPr>
        <w:spacing w:line="276" w:lineRule="auto"/>
        <w:ind w:firstLine="720"/>
        <w:jc w:val="both"/>
        <w:rPr>
          <w:rFonts w:ascii="Times New Roman" w:hAnsi="Times New Roman" w:cs="Times New Roman"/>
          <w:sz w:val="24"/>
          <w:szCs w:val="24"/>
          <w:lang w:val="lt-LT"/>
        </w:rPr>
      </w:pPr>
      <w:r w:rsidRPr="00FA3572">
        <w:rPr>
          <w:rFonts w:ascii="Times New Roman" w:hAnsi="Times New Roman" w:cs="Times New Roman"/>
          <w:sz w:val="24"/>
          <w:szCs w:val="24"/>
          <w:lang w:val="lt-LT"/>
        </w:rPr>
        <w:t xml:space="preserve">Daugiausia ikimokyklinio ir (ar) priešmokyklinio ugdymo </w:t>
      </w:r>
      <w:r>
        <w:rPr>
          <w:rFonts w:ascii="Times New Roman" w:hAnsi="Times New Roman" w:cs="Times New Roman"/>
          <w:sz w:val="24"/>
          <w:szCs w:val="24"/>
          <w:lang w:val="lt-LT"/>
        </w:rPr>
        <w:t>įstaigas lankė</w:t>
      </w:r>
      <w:r w:rsidRPr="00AE6968">
        <w:rPr>
          <w:rFonts w:ascii="Times New Roman" w:hAnsi="Times New Roman" w:cs="Times New Roman"/>
          <w:sz w:val="24"/>
          <w:szCs w:val="24"/>
          <w:lang w:val="lt-LT"/>
        </w:rPr>
        <w:t xml:space="preserve"> 3 – 4 metų amžiaus </w:t>
      </w:r>
      <w:r>
        <w:rPr>
          <w:rFonts w:ascii="Times New Roman" w:hAnsi="Times New Roman" w:cs="Times New Roman"/>
          <w:sz w:val="24"/>
          <w:szCs w:val="24"/>
          <w:lang w:val="lt-LT"/>
        </w:rPr>
        <w:t>vaikų, mažiausia –</w:t>
      </w:r>
      <w:r w:rsidRPr="00AE6968">
        <w:rPr>
          <w:rFonts w:ascii="Times New Roman" w:hAnsi="Times New Roman" w:cs="Times New Roman"/>
          <w:sz w:val="24"/>
          <w:szCs w:val="24"/>
          <w:lang w:val="lt-LT"/>
        </w:rPr>
        <w:t xml:space="preserve"> 0 – 2 metų</w:t>
      </w:r>
      <w:r w:rsidR="00731F0F">
        <w:rPr>
          <w:rFonts w:ascii="Times New Roman" w:hAnsi="Times New Roman" w:cs="Times New Roman"/>
          <w:sz w:val="24"/>
          <w:szCs w:val="24"/>
          <w:lang w:val="lt-LT"/>
        </w:rPr>
        <w:t>.</w:t>
      </w:r>
    </w:p>
    <w:p w:rsidR="00315773" w:rsidRPr="002F3C44" w:rsidRDefault="00315773" w:rsidP="00315773">
      <w:pPr>
        <w:spacing w:line="276"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Tolimesnėje analizėje apdoroti 1 328</w:t>
      </w:r>
      <w:r w:rsidRPr="00FA3572">
        <w:rPr>
          <w:rFonts w:ascii="Times New Roman" w:hAnsi="Times New Roman" w:cs="Times New Roman"/>
          <w:sz w:val="24"/>
          <w:szCs w:val="24"/>
          <w:lang w:val="lt-LT"/>
        </w:rPr>
        <w:t xml:space="preserve"> vai</w:t>
      </w:r>
      <w:r w:rsidR="00EC755F">
        <w:rPr>
          <w:rFonts w:ascii="Times New Roman" w:hAnsi="Times New Roman" w:cs="Times New Roman"/>
          <w:sz w:val="24"/>
          <w:szCs w:val="24"/>
          <w:lang w:val="lt-LT"/>
        </w:rPr>
        <w:t>kų</w:t>
      </w:r>
      <w:r>
        <w:rPr>
          <w:rFonts w:ascii="Times New Roman" w:hAnsi="Times New Roman" w:cs="Times New Roman"/>
          <w:sz w:val="24"/>
          <w:szCs w:val="24"/>
          <w:lang w:val="lt-LT"/>
        </w:rPr>
        <w:t>, iš kurių 686 (51,66</w:t>
      </w:r>
      <w:r w:rsidRPr="00FA3572">
        <w:rPr>
          <w:rFonts w:ascii="Times New Roman" w:hAnsi="Times New Roman" w:cs="Times New Roman"/>
          <w:sz w:val="24"/>
          <w:szCs w:val="24"/>
          <w:lang w:val="lt-LT"/>
        </w:rPr>
        <w:t xml:space="preserve"> proc.</w:t>
      </w:r>
      <w:r>
        <w:rPr>
          <w:rFonts w:ascii="Times New Roman" w:hAnsi="Times New Roman" w:cs="Times New Roman"/>
          <w:sz w:val="24"/>
          <w:szCs w:val="24"/>
          <w:lang w:val="lt-LT"/>
        </w:rPr>
        <w:t xml:space="preserve">) berniukai </w:t>
      </w:r>
      <w:r w:rsidRPr="00FA3572">
        <w:rPr>
          <w:rFonts w:ascii="Times New Roman" w:hAnsi="Times New Roman" w:cs="Times New Roman"/>
          <w:sz w:val="24"/>
          <w:szCs w:val="24"/>
          <w:lang w:val="lt-LT"/>
        </w:rPr>
        <w:t xml:space="preserve">ir </w:t>
      </w:r>
      <w:r>
        <w:rPr>
          <w:rFonts w:ascii="Times New Roman" w:hAnsi="Times New Roman" w:cs="Times New Roman"/>
          <w:sz w:val="24"/>
          <w:szCs w:val="24"/>
          <w:lang w:val="lt-LT"/>
        </w:rPr>
        <w:t>642 (48,35</w:t>
      </w:r>
      <w:r w:rsidRPr="00FA3572">
        <w:rPr>
          <w:rFonts w:ascii="Times New Roman" w:hAnsi="Times New Roman" w:cs="Times New Roman"/>
          <w:sz w:val="24"/>
          <w:szCs w:val="24"/>
          <w:lang w:val="lt-LT"/>
        </w:rPr>
        <w:t xml:space="preserve"> proc.</w:t>
      </w:r>
      <w:r>
        <w:rPr>
          <w:rFonts w:ascii="Times New Roman" w:hAnsi="Times New Roman" w:cs="Times New Roman"/>
          <w:sz w:val="24"/>
          <w:szCs w:val="24"/>
          <w:lang w:val="lt-LT"/>
        </w:rPr>
        <w:t>) mergaitės, pažymėjimų duomenys. 6 (0,45</w:t>
      </w:r>
      <w:r w:rsidRPr="00FA3572">
        <w:rPr>
          <w:rFonts w:ascii="Times New Roman" w:hAnsi="Times New Roman" w:cs="Times New Roman"/>
          <w:sz w:val="24"/>
          <w:szCs w:val="24"/>
          <w:lang w:val="lt-LT"/>
        </w:rPr>
        <w:t xml:space="preserve"> proc.) vaik</w:t>
      </w:r>
      <w:r>
        <w:rPr>
          <w:rFonts w:ascii="Times New Roman" w:hAnsi="Times New Roman" w:cs="Times New Roman"/>
          <w:sz w:val="24"/>
          <w:szCs w:val="24"/>
          <w:lang w:val="lt-LT"/>
        </w:rPr>
        <w:t>ai pažymėj</w:t>
      </w:r>
      <w:r w:rsidR="00AE2597">
        <w:rPr>
          <w:rFonts w:ascii="Times New Roman" w:hAnsi="Times New Roman" w:cs="Times New Roman"/>
          <w:sz w:val="24"/>
          <w:szCs w:val="24"/>
          <w:lang w:val="lt-LT"/>
        </w:rPr>
        <w:t>im</w:t>
      </w:r>
      <w:r>
        <w:rPr>
          <w:rFonts w:ascii="Times New Roman" w:hAnsi="Times New Roman" w:cs="Times New Roman"/>
          <w:sz w:val="24"/>
          <w:szCs w:val="24"/>
          <w:lang w:val="lt-LT"/>
        </w:rPr>
        <w:t>ų</w:t>
      </w:r>
      <w:r w:rsidRPr="00820892">
        <w:rPr>
          <w:rFonts w:ascii="Times New Roman" w:hAnsi="Times New Roman" w:cs="Times New Roman"/>
          <w:sz w:val="24"/>
          <w:szCs w:val="24"/>
          <w:lang w:val="lt-LT"/>
        </w:rPr>
        <w:t xml:space="preserve"> </w:t>
      </w:r>
      <w:r>
        <w:rPr>
          <w:rFonts w:ascii="Times New Roman" w:hAnsi="Times New Roman" w:cs="Times New Roman"/>
          <w:sz w:val="24"/>
          <w:szCs w:val="24"/>
          <w:lang w:val="lt-LT"/>
        </w:rPr>
        <w:t>nep</w:t>
      </w:r>
      <w:r w:rsidRPr="00820892">
        <w:rPr>
          <w:rFonts w:ascii="Times New Roman" w:hAnsi="Times New Roman" w:cs="Times New Roman"/>
          <w:sz w:val="24"/>
          <w:szCs w:val="24"/>
          <w:lang w:val="lt-LT"/>
        </w:rPr>
        <w:t>ateik</w:t>
      </w:r>
      <w:r>
        <w:rPr>
          <w:rFonts w:ascii="Times New Roman" w:hAnsi="Times New Roman" w:cs="Times New Roman"/>
          <w:sz w:val="24"/>
          <w:szCs w:val="24"/>
          <w:lang w:val="lt-LT"/>
        </w:rPr>
        <w:t>ė</w:t>
      </w:r>
      <w:r w:rsidRPr="00820892">
        <w:rPr>
          <w:rFonts w:ascii="Times New Roman" w:hAnsi="Times New Roman" w:cs="Times New Roman"/>
          <w:sz w:val="24"/>
          <w:szCs w:val="24"/>
          <w:lang w:val="lt-LT"/>
        </w:rPr>
        <w:t>.</w:t>
      </w:r>
    </w:p>
    <w:p w:rsidR="00315773" w:rsidRDefault="00315773" w:rsidP="00315773">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Vadovaujantis </w:t>
      </w:r>
      <w:r w:rsidRPr="00FA3572">
        <w:rPr>
          <w:rFonts w:ascii="Times New Roman" w:hAnsi="Times New Roman" w:cs="Times New Roman"/>
          <w:sz w:val="24"/>
          <w:szCs w:val="24"/>
          <w:lang w:val="lt-LT"/>
        </w:rPr>
        <w:t>pateiktais duomenimis</w:t>
      </w:r>
      <w:r>
        <w:rPr>
          <w:rFonts w:ascii="Times New Roman" w:hAnsi="Times New Roman" w:cs="Times New Roman"/>
          <w:sz w:val="24"/>
          <w:szCs w:val="24"/>
          <w:lang w:val="lt-LT"/>
        </w:rPr>
        <w:t xml:space="preserve">, </w:t>
      </w:r>
      <w:r w:rsidRPr="00FA3572">
        <w:rPr>
          <w:rFonts w:ascii="Times New Roman" w:hAnsi="Times New Roman" w:cs="Times New Roman"/>
          <w:sz w:val="24"/>
          <w:szCs w:val="24"/>
          <w:lang w:val="lt-LT"/>
        </w:rPr>
        <w:t xml:space="preserve">jokių sveikatos </w:t>
      </w:r>
      <w:r w:rsidRPr="00AE6968">
        <w:rPr>
          <w:rFonts w:ascii="Times New Roman" w:hAnsi="Times New Roman" w:cs="Times New Roman"/>
          <w:sz w:val="24"/>
          <w:szCs w:val="24"/>
          <w:lang w:val="lt-LT"/>
        </w:rPr>
        <w:t xml:space="preserve">sutrikimų neturėjo </w:t>
      </w:r>
      <w:r w:rsidR="008C5166">
        <w:rPr>
          <w:rFonts w:ascii="Times New Roman" w:hAnsi="Times New Roman" w:cs="Times New Roman"/>
          <w:sz w:val="24"/>
          <w:szCs w:val="24"/>
          <w:lang w:val="lt-LT"/>
        </w:rPr>
        <w:t>634</w:t>
      </w:r>
      <w:r>
        <w:rPr>
          <w:rFonts w:ascii="Times New Roman" w:hAnsi="Times New Roman" w:cs="Times New Roman"/>
          <w:sz w:val="24"/>
          <w:szCs w:val="24"/>
          <w:lang w:val="lt-LT"/>
        </w:rPr>
        <w:t xml:space="preserve"> (</w:t>
      </w:r>
      <w:r w:rsidR="008C5166">
        <w:rPr>
          <w:rFonts w:ascii="Times New Roman" w:hAnsi="Times New Roman" w:cs="Times New Roman"/>
          <w:sz w:val="24"/>
          <w:szCs w:val="24"/>
          <w:lang w:val="lt-LT"/>
        </w:rPr>
        <w:t>47,74</w:t>
      </w:r>
      <w:r w:rsidRPr="00AE6968">
        <w:rPr>
          <w:rFonts w:ascii="Times New Roman" w:hAnsi="Times New Roman" w:cs="Times New Roman"/>
          <w:sz w:val="24"/>
          <w:szCs w:val="24"/>
          <w:lang w:val="lt-LT"/>
        </w:rPr>
        <w:t xml:space="preserve"> </w:t>
      </w:r>
      <w:r>
        <w:rPr>
          <w:rFonts w:ascii="Times New Roman" w:hAnsi="Times New Roman" w:cs="Times New Roman"/>
          <w:sz w:val="24"/>
          <w:szCs w:val="24"/>
          <w:lang w:val="lt-LT"/>
        </w:rPr>
        <w:t>proc.)</w:t>
      </w:r>
      <w:r w:rsidRPr="00FA3572">
        <w:rPr>
          <w:rFonts w:ascii="Times New Roman" w:hAnsi="Times New Roman" w:cs="Times New Roman"/>
          <w:sz w:val="24"/>
          <w:szCs w:val="24"/>
          <w:lang w:val="lt-LT"/>
        </w:rPr>
        <w:t xml:space="preserve"> </w:t>
      </w:r>
      <w:r w:rsidR="008C5166">
        <w:rPr>
          <w:rFonts w:ascii="Times New Roman" w:hAnsi="Times New Roman" w:cs="Times New Roman"/>
          <w:sz w:val="24"/>
          <w:szCs w:val="24"/>
          <w:lang w:val="lt-LT"/>
        </w:rPr>
        <w:t>vaikai.</w:t>
      </w:r>
    </w:p>
    <w:p w:rsidR="00315773" w:rsidRPr="00546FD4" w:rsidRDefault="00315773" w:rsidP="00315773">
      <w:pPr>
        <w:spacing w:line="276"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Analizuojant </w:t>
      </w:r>
      <w:r w:rsidRPr="00FA3572">
        <w:rPr>
          <w:rFonts w:ascii="Times New Roman" w:hAnsi="Times New Roman" w:cs="Times New Roman"/>
          <w:sz w:val="24"/>
          <w:szCs w:val="24"/>
          <w:lang w:val="lt-LT"/>
        </w:rPr>
        <w:t>priešmokyklinio ir ikimokyklinio ugdymo įstaig</w:t>
      </w:r>
      <w:r>
        <w:rPr>
          <w:rFonts w:ascii="Times New Roman" w:hAnsi="Times New Roman" w:cs="Times New Roman"/>
          <w:sz w:val="24"/>
          <w:szCs w:val="24"/>
          <w:lang w:val="lt-LT"/>
        </w:rPr>
        <w:t xml:space="preserve">as lankančių vaikų sveikatos sutrikimus nustatyta, kad dažniausi sutrikimai yra: </w:t>
      </w:r>
      <w:r w:rsidRPr="003F4027">
        <w:rPr>
          <w:rFonts w:ascii="Times New Roman" w:hAnsi="Times New Roman" w:cs="Times New Roman"/>
          <w:sz w:val="24"/>
          <w:szCs w:val="24"/>
          <w:lang w:val="lt-LT"/>
        </w:rPr>
        <w:t xml:space="preserve">regos </w:t>
      </w:r>
      <w:r>
        <w:rPr>
          <w:rFonts w:ascii="Times New Roman" w:hAnsi="Times New Roman" w:cs="Times New Roman"/>
          <w:sz w:val="24"/>
          <w:szCs w:val="24"/>
          <w:lang w:val="lt-LT"/>
        </w:rPr>
        <w:t xml:space="preserve">– </w:t>
      </w:r>
      <w:r w:rsidR="008C5166">
        <w:rPr>
          <w:rFonts w:ascii="Times New Roman" w:hAnsi="Times New Roman" w:cs="Times New Roman"/>
          <w:sz w:val="24"/>
          <w:szCs w:val="24"/>
          <w:lang w:val="lt-LT"/>
        </w:rPr>
        <w:t>130</w:t>
      </w:r>
      <w:r>
        <w:rPr>
          <w:rFonts w:ascii="Times New Roman" w:hAnsi="Times New Roman" w:cs="Times New Roman"/>
          <w:sz w:val="24"/>
          <w:szCs w:val="24"/>
          <w:lang w:val="lt-LT"/>
        </w:rPr>
        <w:t xml:space="preserve"> (</w:t>
      </w:r>
      <w:r w:rsidR="008C5166">
        <w:rPr>
          <w:rFonts w:ascii="Times New Roman" w:hAnsi="Times New Roman" w:cs="Times New Roman"/>
          <w:sz w:val="24"/>
          <w:szCs w:val="24"/>
          <w:lang w:val="lt-LT"/>
        </w:rPr>
        <w:t>23,42</w:t>
      </w:r>
      <w:r>
        <w:rPr>
          <w:rFonts w:ascii="Times New Roman" w:hAnsi="Times New Roman" w:cs="Times New Roman"/>
          <w:sz w:val="24"/>
          <w:szCs w:val="24"/>
          <w:lang w:val="lt-LT"/>
        </w:rPr>
        <w:t xml:space="preserve"> proc.)</w:t>
      </w:r>
      <w:r w:rsidRPr="003D02A2">
        <w:rPr>
          <w:rFonts w:ascii="Times New Roman" w:hAnsi="Times New Roman" w:cs="Times New Roman"/>
          <w:sz w:val="24"/>
          <w:szCs w:val="24"/>
          <w:lang w:val="lt-LT"/>
        </w:rPr>
        <w:t xml:space="preserve">, </w:t>
      </w:r>
      <w:r w:rsidR="00922289" w:rsidRPr="003D02A2">
        <w:rPr>
          <w:rFonts w:ascii="Times New Roman" w:hAnsi="Times New Roman" w:cs="Times New Roman"/>
          <w:sz w:val="24"/>
          <w:szCs w:val="24"/>
          <w:lang w:val="lt-LT"/>
        </w:rPr>
        <w:t>skeleto</w:t>
      </w:r>
      <w:r w:rsidR="00922289">
        <w:rPr>
          <w:rFonts w:ascii="Times New Roman" w:hAnsi="Times New Roman" w:cs="Times New Roman"/>
          <w:sz w:val="24"/>
          <w:szCs w:val="24"/>
          <w:lang w:val="lt-LT"/>
        </w:rPr>
        <w:t xml:space="preserve">-raumenų – 110 (19,82 proc.), </w:t>
      </w:r>
      <w:r w:rsidRPr="003D02A2">
        <w:rPr>
          <w:rFonts w:ascii="Times New Roman" w:hAnsi="Times New Roman" w:cs="Times New Roman"/>
          <w:sz w:val="24"/>
          <w:szCs w:val="24"/>
          <w:lang w:val="lt-LT"/>
        </w:rPr>
        <w:t>kraujotakos</w:t>
      </w:r>
      <w:r>
        <w:rPr>
          <w:rFonts w:ascii="Times New Roman" w:hAnsi="Times New Roman" w:cs="Times New Roman"/>
          <w:sz w:val="24"/>
          <w:szCs w:val="24"/>
          <w:lang w:val="lt-LT"/>
        </w:rPr>
        <w:t xml:space="preserve"> – </w:t>
      </w:r>
      <w:r w:rsidR="008C5166">
        <w:rPr>
          <w:rFonts w:ascii="Times New Roman" w:hAnsi="Times New Roman" w:cs="Times New Roman"/>
          <w:sz w:val="24"/>
          <w:szCs w:val="24"/>
          <w:lang w:val="lt-LT"/>
        </w:rPr>
        <w:t>109</w:t>
      </w:r>
      <w:r>
        <w:rPr>
          <w:rFonts w:ascii="Times New Roman" w:hAnsi="Times New Roman" w:cs="Times New Roman"/>
          <w:sz w:val="24"/>
          <w:szCs w:val="24"/>
          <w:lang w:val="lt-LT"/>
        </w:rPr>
        <w:t xml:space="preserve"> (</w:t>
      </w:r>
      <w:r w:rsidR="008C5166">
        <w:rPr>
          <w:rFonts w:ascii="Times New Roman" w:hAnsi="Times New Roman" w:cs="Times New Roman"/>
          <w:sz w:val="24"/>
          <w:szCs w:val="24"/>
          <w:lang w:val="lt-LT"/>
        </w:rPr>
        <w:t>19,64</w:t>
      </w:r>
      <w:r>
        <w:rPr>
          <w:rFonts w:ascii="Times New Roman" w:hAnsi="Times New Roman" w:cs="Times New Roman"/>
          <w:sz w:val="24"/>
          <w:szCs w:val="24"/>
          <w:lang w:val="lt-LT"/>
        </w:rPr>
        <w:t xml:space="preserve"> proc.)</w:t>
      </w:r>
      <w:r w:rsidR="00922289">
        <w:rPr>
          <w:rFonts w:ascii="Times New Roman" w:hAnsi="Times New Roman" w:cs="Times New Roman"/>
          <w:sz w:val="24"/>
          <w:szCs w:val="24"/>
          <w:lang w:val="lt-LT"/>
        </w:rPr>
        <w:t xml:space="preserve"> ir</w:t>
      </w:r>
      <w:r w:rsidRPr="003D02A2">
        <w:rPr>
          <w:rFonts w:ascii="Times New Roman" w:hAnsi="Times New Roman" w:cs="Times New Roman"/>
          <w:sz w:val="24"/>
          <w:szCs w:val="24"/>
          <w:lang w:val="lt-LT"/>
        </w:rPr>
        <w:t xml:space="preserve"> kvėpavimo</w:t>
      </w:r>
      <w:r>
        <w:rPr>
          <w:rFonts w:ascii="Times New Roman" w:hAnsi="Times New Roman" w:cs="Times New Roman"/>
          <w:sz w:val="24"/>
          <w:szCs w:val="24"/>
          <w:lang w:val="lt-LT"/>
        </w:rPr>
        <w:t xml:space="preserve"> – </w:t>
      </w:r>
      <w:r w:rsidR="008C5166">
        <w:rPr>
          <w:rFonts w:ascii="Times New Roman" w:hAnsi="Times New Roman" w:cs="Times New Roman"/>
          <w:sz w:val="24"/>
          <w:szCs w:val="24"/>
          <w:lang w:val="lt-LT"/>
        </w:rPr>
        <w:t xml:space="preserve">98 </w:t>
      </w:r>
      <w:r>
        <w:rPr>
          <w:rFonts w:ascii="Times New Roman" w:hAnsi="Times New Roman" w:cs="Times New Roman"/>
          <w:sz w:val="24"/>
          <w:szCs w:val="24"/>
          <w:lang w:val="lt-LT"/>
        </w:rPr>
        <w:t>(</w:t>
      </w:r>
      <w:r w:rsidR="008C5166">
        <w:rPr>
          <w:rFonts w:ascii="Times New Roman" w:hAnsi="Times New Roman" w:cs="Times New Roman"/>
          <w:sz w:val="24"/>
          <w:szCs w:val="24"/>
          <w:lang w:val="lt-LT"/>
        </w:rPr>
        <w:t>17,66</w:t>
      </w:r>
      <w:r>
        <w:rPr>
          <w:rFonts w:ascii="Times New Roman" w:hAnsi="Times New Roman" w:cs="Times New Roman"/>
          <w:sz w:val="24"/>
          <w:szCs w:val="24"/>
          <w:lang w:val="lt-LT"/>
        </w:rPr>
        <w:t xml:space="preserve"> proc.)</w:t>
      </w:r>
      <w:r w:rsidR="00922289">
        <w:rPr>
          <w:rFonts w:ascii="Times New Roman" w:hAnsi="Times New Roman" w:cs="Times New Roman"/>
          <w:sz w:val="24"/>
          <w:szCs w:val="24"/>
          <w:lang w:val="lt-LT"/>
        </w:rPr>
        <w:t xml:space="preserve"> </w:t>
      </w:r>
      <w:r>
        <w:rPr>
          <w:rFonts w:ascii="Times New Roman" w:hAnsi="Times New Roman" w:cs="Times New Roman"/>
          <w:sz w:val="24"/>
          <w:szCs w:val="24"/>
          <w:lang w:val="lt-LT"/>
        </w:rPr>
        <w:t>sistemų</w:t>
      </w:r>
      <w:r w:rsidRPr="003D02A2">
        <w:rPr>
          <w:rFonts w:ascii="Times New Roman" w:hAnsi="Times New Roman" w:cs="Times New Roman"/>
          <w:sz w:val="24"/>
          <w:szCs w:val="24"/>
          <w:lang w:val="lt-LT"/>
        </w:rPr>
        <w:t xml:space="preserve">. </w:t>
      </w:r>
      <w:r>
        <w:rPr>
          <w:rFonts w:ascii="Times New Roman" w:hAnsi="Times New Roman" w:cs="Times New Roman"/>
          <w:sz w:val="24"/>
          <w:szCs w:val="24"/>
          <w:lang w:val="lt-LT"/>
        </w:rPr>
        <w:t>Rečiausiai</w:t>
      </w:r>
      <w:r w:rsidRPr="00546FD4">
        <w:rPr>
          <w:rFonts w:ascii="Times New Roman" w:hAnsi="Times New Roman" w:cs="Times New Roman"/>
          <w:sz w:val="24"/>
          <w:szCs w:val="24"/>
          <w:lang w:val="lt-LT"/>
        </w:rPr>
        <w:t xml:space="preserve"> ikimokyklinio amžiaus vaikam</w:t>
      </w:r>
      <w:r>
        <w:rPr>
          <w:rFonts w:ascii="Times New Roman" w:hAnsi="Times New Roman" w:cs="Times New Roman"/>
          <w:sz w:val="24"/>
          <w:szCs w:val="24"/>
          <w:lang w:val="lt-LT"/>
        </w:rPr>
        <w:t>s diagnozuojami</w:t>
      </w:r>
      <w:r w:rsidRPr="00546FD4">
        <w:rPr>
          <w:rFonts w:ascii="Times New Roman" w:hAnsi="Times New Roman" w:cs="Times New Roman"/>
          <w:sz w:val="24"/>
          <w:szCs w:val="24"/>
          <w:lang w:val="lt-LT"/>
        </w:rPr>
        <w:t xml:space="preserve"> virškinimo, urogenotalinės bei</w:t>
      </w:r>
      <w:r>
        <w:rPr>
          <w:rFonts w:ascii="Times New Roman" w:hAnsi="Times New Roman" w:cs="Times New Roman"/>
          <w:sz w:val="24"/>
          <w:szCs w:val="24"/>
          <w:lang w:val="lt-LT"/>
        </w:rPr>
        <w:t xml:space="preserve"> endokrininės sistemos sutrikimai</w:t>
      </w:r>
      <w:r w:rsidRPr="00546FD4">
        <w:rPr>
          <w:rFonts w:ascii="Times New Roman" w:hAnsi="Times New Roman" w:cs="Times New Roman"/>
          <w:sz w:val="24"/>
          <w:szCs w:val="24"/>
          <w:lang w:val="lt-LT"/>
        </w:rPr>
        <w:t>.</w:t>
      </w:r>
      <w:r>
        <w:rPr>
          <w:rFonts w:ascii="Times New Roman" w:hAnsi="Times New Roman" w:cs="Times New Roman"/>
          <w:sz w:val="24"/>
          <w:szCs w:val="24"/>
          <w:lang w:val="lt-LT"/>
        </w:rPr>
        <w:t xml:space="preserve"> Registruotų sutrikimų skaičius pateikiamas </w:t>
      </w:r>
      <w:r w:rsidR="00AE2597">
        <w:rPr>
          <w:rFonts w:ascii="Times New Roman" w:hAnsi="Times New Roman" w:cs="Times New Roman"/>
          <w:sz w:val="24"/>
          <w:szCs w:val="24"/>
          <w:lang w:val="lt-LT"/>
        </w:rPr>
        <w:t xml:space="preserve">1 </w:t>
      </w:r>
      <w:r>
        <w:rPr>
          <w:rFonts w:ascii="Times New Roman" w:hAnsi="Times New Roman" w:cs="Times New Roman"/>
          <w:sz w:val="24"/>
          <w:szCs w:val="24"/>
          <w:lang w:val="lt-LT"/>
        </w:rPr>
        <w:t xml:space="preserve">pav. </w:t>
      </w:r>
    </w:p>
    <w:p w:rsidR="00315773" w:rsidRPr="00546FD4" w:rsidRDefault="00315773" w:rsidP="00315773">
      <w:pPr>
        <w:ind w:firstLine="720"/>
        <w:jc w:val="both"/>
        <w:rPr>
          <w:rFonts w:ascii="Times New Roman" w:hAnsi="Times New Roman" w:cs="Times New Roman"/>
          <w:sz w:val="24"/>
          <w:szCs w:val="24"/>
          <w:lang w:val="lt-LT"/>
        </w:rPr>
      </w:pPr>
    </w:p>
    <w:p w:rsidR="00315773" w:rsidRPr="00FA3572" w:rsidRDefault="008C5166" w:rsidP="00315773">
      <w:pPr>
        <w:jc w:val="center"/>
        <w:rPr>
          <w:rFonts w:ascii="Times New Roman" w:hAnsi="Times New Roman" w:cs="Times New Roman"/>
          <w:sz w:val="24"/>
          <w:szCs w:val="24"/>
          <w:lang w:val="lt-LT"/>
        </w:rPr>
      </w:pPr>
      <w:r>
        <w:rPr>
          <w:noProof/>
          <w:lang w:val="lt-LT" w:eastAsia="lt-LT"/>
        </w:rPr>
        <w:drawing>
          <wp:inline distT="0" distB="0" distL="0" distR="0" wp14:anchorId="0A5A6FBE" wp14:editId="63030127">
            <wp:extent cx="5731510" cy="2529205"/>
            <wp:effectExtent l="0" t="0" r="254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15773" w:rsidRPr="00FA3572" w:rsidRDefault="00AE2597" w:rsidP="00315773">
      <w:pPr>
        <w:rPr>
          <w:rFonts w:ascii="Times New Roman" w:hAnsi="Times New Roman" w:cs="Times New Roman"/>
          <w:sz w:val="24"/>
          <w:szCs w:val="24"/>
          <w:lang w:val="lt-LT"/>
        </w:rPr>
      </w:pPr>
      <w:r w:rsidRPr="00731F0F">
        <w:rPr>
          <w:rFonts w:ascii="Times New Roman" w:hAnsi="Times New Roman" w:cs="Times New Roman"/>
          <w:b/>
          <w:sz w:val="24"/>
          <w:szCs w:val="24"/>
          <w:lang w:val="lt-LT"/>
        </w:rPr>
        <w:t xml:space="preserve">1 </w:t>
      </w:r>
      <w:r w:rsidR="00922289" w:rsidRPr="00731F0F">
        <w:rPr>
          <w:rFonts w:ascii="Times New Roman" w:hAnsi="Times New Roman" w:cs="Times New Roman"/>
          <w:b/>
          <w:sz w:val="24"/>
          <w:szCs w:val="24"/>
          <w:lang w:val="lt-LT"/>
        </w:rPr>
        <w:t>pav.</w:t>
      </w:r>
      <w:r w:rsidR="00922289">
        <w:rPr>
          <w:rFonts w:ascii="Times New Roman" w:hAnsi="Times New Roman" w:cs="Times New Roman"/>
          <w:sz w:val="24"/>
          <w:szCs w:val="24"/>
          <w:lang w:val="lt-LT"/>
        </w:rPr>
        <w:t xml:space="preserve"> Vaikams registruotų sutrikimų skaičius</w:t>
      </w:r>
    </w:p>
    <w:p w:rsidR="00315773" w:rsidRPr="00FA3572" w:rsidRDefault="00315773" w:rsidP="00315773">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Analizuojant vaikų sergamumą pagal amžiaus grupes stebėtos labai panašios sutrikimų dažnio tendencijos, kaip ir pateiktame </w:t>
      </w:r>
      <w:r w:rsidR="00AE2597">
        <w:rPr>
          <w:rFonts w:ascii="Times New Roman" w:hAnsi="Times New Roman" w:cs="Times New Roman"/>
          <w:sz w:val="24"/>
          <w:szCs w:val="24"/>
          <w:lang w:val="lt-LT"/>
        </w:rPr>
        <w:t xml:space="preserve">1 </w:t>
      </w:r>
      <w:r>
        <w:rPr>
          <w:rFonts w:ascii="Times New Roman" w:hAnsi="Times New Roman" w:cs="Times New Roman"/>
          <w:sz w:val="24"/>
          <w:szCs w:val="24"/>
          <w:lang w:val="lt-LT"/>
        </w:rPr>
        <w:t xml:space="preserve">pav., visose amžiaus grupėse daugiausia buvo regos, kraujotakos, kvėpavimo </w:t>
      </w:r>
      <w:r w:rsidR="008C5166">
        <w:rPr>
          <w:rFonts w:ascii="Times New Roman" w:hAnsi="Times New Roman" w:cs="Times New Roman"/>
          <w:sz w:val="24"/>
          <w:szCs w:val="24"/>
          <w:lang w:val="lt-LT"/>
        </w:rPr>
        <w:t>ir skeleto – raumenų sistemų</w:t>
      </w:r>
      <w:r w:rsidR="00EC755F">
        <w:rPr>
          <w:rFonts w:ascii="Times New Roman" w:hAnsi="Times New Roman" w:cs="Times New Roman"/>
          <w:sz w:val="24"/>
          <w:szCs w:val="24"/>
          <w:lang w:val="lt-LT"/>
        </w:rPr>
        <w:t xml:space="preserve"> sutrikimų.</w:t>
      </w:r>
      <w:r>
        <w:rPr>
          <w:rFonts w:ascii="Times New Roman" w:hAnsi="Times New Roman" w:cs="Times New Roman"/>
          <w:sz w:val="24"/>
          <w:szCs w:val="24"/>
          <w:lang w:val="lt-LT"/>
        </w:rPr>
        <w:t xml:space="preserve"> Detalesnė informacija apie vaikų sergamumo pasiskirstymą pagal amžiaus grupes yra pateikiama </w:t>
      </w:r>
      <w:r w:rsidR="00AE2597">
        <w:rPr>
          <w:rFonts w:ascii="Times New Roman" w:hAnsi="Times New Roman" w:cs="Times New Roman"/>
          <w:sz w:val="24"/>
          <w:szCs w:val="24"/>
          <w:lang w:val="lt-LT"/>
        </w:rPr>
        <w:t xml:space="preserve">2 </w:t>
      </w:r>
      <w:r>
        <w:rPr>
          <w:rFonts w:ascii="Times New Roman" w:hAnsi="Times New Roman" w:cs="Times New Roman"/>
          <w:sz w:val="24"/>
          <w:szCs w:val="24"/>
          <w:lang w:val="lt-LT"/>
        </w:rPr>
        <w:t xml:space="preserve">pav. </w:t>
      </w:r>
    </w:p>
    <w:p w:rsidR="00315773" w:rsidRPr="00FA3572" w:rsidRDefault="008C5166" w:rsidP="00315773">
      <w:pPr>
        <w:jc w:val="center"/>
        <w:rPr>
          <w:rFonts w:ascii="Times New Roman" w:hAnsi="Times New Roman" w:cs="Times New Roman"/>
          <w:color w:val="FF0000"/>
          <w:sz w:val="24"/>
          <w:szCs w:val="24"/>
          <w:lang w:val="lt-LT"/>
        </w:rPr>
      </w:pPr>
      <w:r>
        <w:rPr>
          <w:noProof/>
          <w:lang w:val="lt-LT" w:eastAsia="lt-LT"/>
        </w:rPr>
        <w:lastRenderedPageBreak/>
        <w:drawing>
          <wp:inline distT="0" distB="0" distL="0" distR="0" wp14:anchorId="13781C65" wp14:editId="3B8E2BDB">
            <wp:extent cx="5988685" cy="4190162"/>
            <wp:effectExtent l="0" t="0" r="12065"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5773" w:rsidRDefault="00AE2597" w:rsidP="00315773">
      <w:pPr>
        <w:rPr>
          <w:rFonts w:ascii="Times New Roman" w:hAnsi="Times New Roman" w:cs="Times New Roman"/>
          <w:b/>
          <w:sz w:val="24"/>
          <w:szCs w:val="24"/>
          <w:lang w:val="lt-LT"/>
        </w:rPr>
      </w:pPr>
      <w:r w:rsidRPr="00731F0F">
        <w:rPr>
          <w:rFonts w:ascii="Times New Roman" w:hAnsi="Times New Roman" w:cs="Times New Roman"/>
          <w:b/>
          <w:sz w:val="24"/>
          <w:szCs w:val="24"/>
          <w:lang w:val="lt-LT"/>
        </w:rPr>
        <w:t xml:space="preserve">2 </w:t>
      </w:r>
      <w:r w:rsidR="00315773" w:rsidRPr="00731F0F">
        <w:rPr>
          <w:rFonts w:ascii="Times New Roman" w:hAnsi="Times New Roman" w:cs="Times New Roman"/>
          <w:b/>
          <w:sz w:val="24"/>
          <w:szCs w:val="24"/>
          <w:lang w:val="lt-LT"/>
        </w:rPr>
        <w:t>pav.</w:t>
      </w:r>
      <w:r w:rsidR="00315773">
        <w:rPr>
          <w:rFonts w:ascii="Times New Roman" w:hAnsi="Times New Roman" w:cs="Times New Roman"/>
          <w:sz w:val="24"/>
          <w:szCs w:val="24"/>
          <w:lang w:val="lt-LT"/>
        </w:rPr>
        <w:t xml:space="preserve"> Vaikų s</w:t>
      </w:r>
      <w:r w:rsidR="00922289">
        <w:rPr>
          <w:rFonts w:ascii="Times New Roman" w:hAnsi="Times New Roman" w:cs="Times New Roman"/>
          <w:sz w:val="24"/>
          <w:szCs w:val="24"/>
          <w:lang w:val="lt-LT"/>
        </w:rPr>
        <w:t>utrikimų skaičius pagal amžiaus grupes</w:t>
      </w:r>
      <w:r w:rsidR="00315773">
        <w:rPr>
          <w:rFonts w:ascii="Times New Roman" w:hAnsi="Times New Roman" w:cs="Times New Roman"/>
          <w:b/>
          <w:sz w:val="24"/>
          <w:szCs w:val="24"/>
          <w:lang w:val="lt-LT"/>
        </w:rPr>
        <w:br w:type="page"/>
      </w:r>
    </w:p>
    <w:p w:rsidR="00315773" w:rsidRDefault="00315773" w:rsidP="00315773">
      <w:pPr>
        <w:jc w:val="center"/>
        <w:rPr>
          <w:rFonts w:ascii="Times New Roman" w:hAnsi="Times New Roman" w:cs="Times New Roman"/>
          <w:sz w:val="24"/>
          <w:szCs w:val="24"/>
          <w:lang w:val="lt-LT"/>
        </w:rPr>
      </w:pPr>
      <w:r>
        <w:rPr>
          <w:rFonts w:ascii="Times New Roman" w:hAnsi="Times New Roman" w:cs="Times New Roman"/>
          <w:b/>
          <w:sz w:val="24"/>
          <w:szCs w:val="24"/>
          <w:lang w:val="lt-LT"/>
        </w:rPr>
        <w:lastRenderedPageBreak/>
        <w:t xml:space="preserve">PRIEŠMOKYKLINES IR IKIMOKYKLINES UGDYMO ĮSTAIGAS </w:t>
      </w:r>
      <w:r w:rsidRPr="00456A35">
        <w:rPr>
          <w:rFonts w:ascii="Times New Roman" w:hAnsi="Times New Roman" w:cs="Times New Roman"/>
          <w:b/>
          <w:sz w:val="24"/>
          <w:szCs w:val="24"/>
          <w:lang w:val="lt-LT"/>
        </w:rPr>
        <w:t>LANKANČIŲ VAIKŲ</w:t>
      </w:r>
      <w:r>
        <w:rPr>
          <w:rFonts w:ascii="Times New Roman" w:hAnsi="Times New Roman" w:cs="Times New Roman"/>
          <w:b/>
          <w:sz w:val="24"/>
          <w:szCs w:val="24"/>
          <w:lang w:val="lt-LT"/>
        </w:rPr>
        <w:t xml:space="preserve"> DANTŲ IR ŽANDIKLAULIŲ BŪKLĖS ĮVERTI</w:t>
      </w:r>
      <w:r w:rsidR="00AE2597">
        <w:rPr>
          <w:rFonts w:ascii="Times New Roman" w:hAnsi="Times New Roman" w:cs="Times New Roman"/>
          <w:b/>
          <w:sz w:val="24"/>
          <w:szCs w:val="24"/>
          <w:lang w:val="lt-LT"/>
        </w:rPr>
        <w:t>NI</w:t>
      </w:r>
      <w:r>
        <w:rPr>
          <w:rFonts w:ascii="Times New Roman" w:hAnsi="Times New Roman" w:cs="Times New Roman"/>
          <w:b/>
          <w:sz w:val="24"/>
          <w:szCs w:val="24"/>
          <w:lang w:val="lt-LT"/>
        </w:rPr>
        <w:t>MAS</w:t>
      </w:r>
    </w:p>
    <w:p w:rsidR="00315773" w:rsidRPr="00F257AA" w:rsidRDefault="00315773" w:rsidP="00315773">
      <w:pPr>
        <w:ind w:firstLine="720"/>
        <w:jc w:val="both"/>
        <w:rPr>
          <w:rFonts w:ascii="Times New Roman" w:hAnsi="Times New Roman" w:cs="Times New Roman"/>
          <w:sz w:val="24"/>
          <w:szCs w:val="24"/>
          <w:lang w:val="lt-LT"/>
        </w:rPr>
      </w:pPr>
      <w:r w:rsidRPr="00456A35">
        <w:rPr>
          <w:rFonts w:ascii="Times New Roman" w:hAnsi="Times New Roman" w:cs="Times New Roman"/>
          <w:sz w:val="24"/>
          <w:szCs w:val="24"/>
          <w:lang w:val="lt-LT"/>
        </w:rPr>
        <w:t xml:space="preserve">Vilniaus </w:t>
      </w:r>
      <w:r w:rsidR="00BB4961">
        <w:rPr>
          <w:rFonts w:ascii="Times New Roman" w:hAnsi="Times New Roman" w:cs="Times New Roman"/>
          <w:sz w:val="24"/>
          <w:szCs w:val="24"/>
          <w:lang w:val="lt-LT"/>
        </w:rPr>
        <w:t>rajono</w:t>
      </w:r>
      <w:r w:rsidRPr="00456A35">
        <w:rPr>
          <w:rFonts w:ascii="Times New Roman" w:hAnsi="Times New Roman" w:cs="Times New Roman"/>
          <w:sz w:val="24"/>
          <w:szCs w:val="24"/>
          <w:lang w:val="lt-LT"/>
        </w:rPr>
        <w:t xml:space="preserve"> savivaldybėje 2015-2016 m. m.</w:t>
      </w:r>
      <w:r>
        <w:rPr>
          <w:rFonts w:ascii="Times New Roman" w:hAnsi="Times New Roman" w:cs="Times New Roman"/>
          <w:sz w:val="24"/>
          <w:szCs w:val="24"/>
          <w:lang w:val="lt-LT"/>
        </w:rPr>
        <w:t xml:space="preserve"> gauti ir apibendrinti </w:t>
      </w:r>
      <w:r w:rsidR="00BB4961">
        <w:rPr>
          <w:rFonts w:ascii="Times New Roman" w:hAnsi="Times New Roman" w:cs="Times New Roman"/>
          <w:sz w:val="24"/>
          <w:szCs w:val="24"/>
          <w:lang w:val="lt-LT"/>
        </w:rPr>
        <w:t>1 239</w:t>
      </w:r>
      <w:r>
        <w:rPr>
          <w:rFonts w:ascii="Times New Roman" w:hAnsi="Times New Roman" w:cs="Times New Roman"/>
          <w:sz w:val="24"/>
          <w:szCs w:val="24"/>
          <w:lang w:val="lt-LT"/>
        </w:rPr>
        <w:t xml:space="preserve"> vaikų sveikatos pažymėjimų </w:t>
      </w:r>
      <w:r w:rsidRPr="00731F0F">
        <w:rPr>
          <w:rFonts w:ascii="Times New Roman" w:hAnsi="Times New Roman" w:cs="Times New Roman"/>
          <w:b/>
          <w:sz w:val="24"/>
          <w:szCs w:val="24"/>
          <w:u w:val="single"/>
          <w:lang w:val="lt-LT"/>
        </w:rPr>
        <w:t>su odontologo užpildyta dalimi</w:t>
      </w:r>
      <w:r w:rsidRPr="004A36A5">
        <w:rPr>
          <w:rFonts w:ascii="Times New Roman" w:hAnsi="Times New Roman" w:cs="Times New Roman"/>
          <w:sz w:val="24"/>
          <w:szCs w:val="24"/>
          <w:lang w:val="lt-LT"/>
        </w:rPr>
        <w:t xml:space="preserve"> </w:t>
      </w:r>
      <w:r>
        <w:rPr>
          <w:rFonts w:ascii="Times New Roman" w:hAnsi="Times New Roman" w:cs="Times New Roman"/>
          <w:sz w:val="24"/>
          <w:szCs w:val="24"/>
          <w:lang w:val="lt-LT"/>
        </w:rPr>
        <w:t>duomenys (</w:t>
      </w:r>
      <w:r w:rsidR="00BB4961">
        <w:rPr>
          <w:rFonts w:ascii="Times New Roman" w:hAnsi="Times New Roman" w:cs="Times New Roman"/>
          <w:sz w:val="24"/>
          <w:szCs w:val="24"/>
          <w:lang w:val="lt-LT"/>
        </w:rPr>
        <w:t>93,30</w:t>
      </w:r>
      <w:r>
        <w:rPr>
          <w:rFonts w:ascii="Times New Roman" w:hAnsi="Times New Roman" w:cs="Times New Roman"/>
          <w:sz w:val="24"/>
          <w:szCs w:val="24"/>
          <w:lang w:val="lt-LT"/>
        </w:rPr>
        <w:t xml:space="preserve"> proc. nuo bendro gautų pažymėjimų skaičiaus (</w:t>
      </w:r>
      <w:r w:rsidR="00BB4961">
        <w:rPr>
          <w:rFonts w:ascii="Times New Roman" w:hAnsi="Times New Roman" w:cs="Times New Roman"/>
          <w:sz w:val="24"/>
          <w:szCs w:val="24"/>
          <w:lang w:val="lt-LT"/>
        </w:rPr>
        <w:t>1 328</w:t>
      </w:r>
      <w:r w:rsidRPr="00F257AA">
        <w:rPr>
          <w:rFonts w:ascii="Times New Roman" w:hAnsi="Times New Roman" w:cs="Times New Roman"/>
          <w:sz w:val="24"/>
          <w:szCs w:val="24"/>
          <w:lang w:val="lt-LT"/>
        </w:rPr>
        <w:t>)) (</w:t>
      </w:r>
      <w:r w:rsidR="00AE2597">
        <w:rPr>
          <w:rFonts w:ascii="Times New Roman" w:hAnsi="Times New Roman" w:cs="Times New Roman"/>
          <w:sz w:val="24"/>
          <w:szCs w:val="24"/>
          <w:lang w:val="lt-LT"/>
        </w:rPr>
        <w:t>3</w:t>
      </w:r>
      <w:r w:rsidR="00AE2597" w:rsidRPr="00F257AA">
        <w:rPr>
          <w:rFonts w:ascii="Times New Roman" w:hAnsi="Times New Roman" w:cs="Times New Roman"/>
          <w:sz w:val="24"/>
          <w:szCs w:val="24"/>
          <w:lang w:val="lt-LT"/>
        </w:rPr>
        <w:t xml:space="preserve"> </w:t>
      </w:r>
      <w:r w:rsidRPr="00F257AA">
        <w:rPr>
          <w:rFonts w:ascii="Times New Roman" w:hAnsi="Times New Roman" w:cs="Times New Roman"/>
          <w:sz w:val="24"/>
          <w:szCs w:val="24"/>
          <w:lang w:val="lt-LT"/>
        </w:rPr>
        <w:t xml:space="preserve">pav.). </w:t>
      </w:r>
    </w:p>
    <w:p w:rsidR="00315773" w:rsidRDefault="00BB4961" w:rsidP="00731F0F">
      <w:pPr>
        <w:jc w:val="both"/>
        <w:rPr>
          <w:rFonts w:ascii="Times New Roman" w:hAnsi="Times New Roman" w:cs="Times New Roman"/>
          <w:sz w:val="24"/>
          <w:szCs w:val="24"/>
          <w:lang w:val="lt-LT"/>
        </w:rPr>
      </w:pPr>
      <w:r>
        <w:rPr>
          <w:noProof/>
          <w:lang w:val="lt-LT" w:eastAsia="lt-LT"/>
        </w:rPr>
        <w:drawing>
          <wp:inline distT="0" distB="0" distL="0" distR="0" wp14:anchorId="7D1DA3FC" wp14:editId="117D7817">
            <wp:extent cx="5695950" cy="2632075"/>
            <wp:effectExtent l="0" t="0" r="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5773" w:rsidRDefault="00AE2597" w:rsidP="00731F0F">
      <w:pPr>
        <w:jc w:val="both"/>
        <w:rPr>
          <w:rFonts w:ascii="Times New Roman" w:hAnsi="Times New Roman" w:cs="Times New Roman"/>
          <w:sz w:val="24"/>
          <w:szCs w:val="24"/>
          <w:lang w:val="lt-LT"/>
        </w:rPr>
      </w:pPr>
      <w:r w:rsidRPr="00731F0F">
        <w:rPr>
          <w:rFonts w:ascii="Times New Roman" w:hAnsi="Times New Roman" w:cs="Times New Roman"/>
          <w:b/>
          <w:sz w:val="24"/>
          <w:szCs w:val="24"/>
          <w:lang w:val="lt-LT"/>
        </w:rPr>
        <w:t xml:space="preserve">3 </w:t>
      </w:r>
      <w:r w:rsidR="00315773" w:rsidRPr="00731F0F">
        <w:rPr>
          <w:rFonts w:ascii="Times New Roman" w:hAnsi="Times New Roman" w:cs="Times New Roman"/>
          <w:b/>
          <w:sz w:val="24"/>
          <w:szCs w:val="24"/>
          <w:lang w:val="lt-LT"/>
        </w:rPr>
        <w:t>pav.</w:t>
      </w:r>
      <w:r w:rsidR="00315773">
        <w:rPr>
          <w:rFonts w:ascii="Times New Roman" w:hAnsi="Times New Roman" w:cs="Times New Roman"/>
          <w:sz w:val="24"/>
          <w:szCs w:val="24"/>
          <w:lang w:val="lt-LT"/>
        </w:rPr>
        <w:t xml:space="preserve"> Vaikų, kuriems buvo patikrinta dantų būklė, dalis (proc.) pagal amžiaus grupes </w:t>
      </w:r>
    </w:p>
    <w:p w:rsidR="00315773" w:rsidRDefault="00315773" w:rsidP="00315773">
      <w:pPr>
        <w:ind w:firstLine="720"/>
        <w:jc w:val="both"/>
        <w:rPr>
          <w:rFonts w:ascii="Times New Roman" w:hAnsi="Times New Roman" w:cs="Times New Roman"/>
          <w:sz w:val="24"/>
          <w:szCs w:val="24"/>
          <w:lang w:val="lt-LT"/>
        </w:rPr>
      </w:pPr>
      <w:r w:rsidRPr="00731F0F">
        <w:rPr>
          <w:rFonts w:ascii="Times New Roman" w:hAnsi="Times New Roman" w:cs="Times New Roman"/>
          <w:sz w:val="24"/>
          <w:szCs w:val="24"/>
          <w:lang w:val="lt-LT"/>
        </w:rPr>
        <w:t xml:space="preserve">Nustatyta, kad </w:t>
      </w:r>
      <w:r w:rsidR="00731F0F" w:rsidRPr="00731F0F">
        <w:rPr>
          <w:rFonts w:ascii="Times New Roman" w:hAnsi="Times New Roman" w:cs="Times New Roman"/>
          <w:sz w:val="24"/>
          <w:szCs w:val="24"/>
          <w:lang w:val="lt-LT"/>
        </w:rPr>
        <w:t>tr</w:t>
      </w:r>
      <w:r w:rsidR="00731F0F" w:rsidRPr="00731F0F">
        <w:rPr>
          <w:rFonts w:ascii="Times New Roman" w:hAnsi="Times New Roman" w:cs="Times New Roman"/>
          <w:sz w:val="24"/>
          <w:szCs w:val="24"/>
          <w:lang w:val="en-US"/>
        </w:rPr>
        <w:t>e</w:t>
      </w:r>
      <w:r w:rsidR="00731F0F" w:rsidRPr="00731F0F">
        <w:rPr>
          <w:rFonts w:ascii="Times New Roman" w:hAnsi="Times New Roman" w:cs="Times New Roman"/>
          <w:sz w:val="24"/>
          <w:szCs w:val="24"/>
          <w:lang w:val="lt-LT"/>
        </w:rPr>
        <w:t>čdalis</w:t>
      </w:r>
      <w:r w:rsidR="00863248" w:rsidRPr="00731F0F">
        <w:rPr>
          <w:rFonts w:ascii="Times New Roman" w:hAnsi="Times New Roman" w:cs="Times New Roman"/>
          <w:sz w:val="24"/>
          <w:szCs w:val="24"/>
          <w:lang w:val="lt-LT"/>
        </w:rPr>
        <w:t xml:space="preserve"> (</w:t>
      </w:r>
      <w:r w:rsidR="00C1396E" w:rsidRPr="00731F0F">
        <w:rPr>
          <w:rFonts w:ascii="Times New Roman" w:hAnsi="Times New Roman" w:cs="Times New Roman"/>
          <w:sz w:val="24"/>
          <w:szCs w:val="24"/>
          <w:lang w:val="lt-LT"/>
        </w:rPr>
        <w:t>365</w:t>
      </w:r>
      <w:r w:rsidR="00863248" w:rsidRPr="00731F0F">
        <w:rPr>
          <w:rFonts w:ascii="Times New Roman" w:hAnsi="Times New Roman" w:cs="Times New Roman"/>
          <w:sz w:val="24"/>
          <w:szCs w:val="24"/>
          <w:lang w:val="lt-LT"/>
        </w:rPr>
        <w:t>) vaikų</w:t>
      </w:r>
      <w:r w:rsidRPr="00731F0F">
        <w:rPr>
          <w:rFonts w:ascii="Times New Roman" w:hAnsi="Times New Roman" w:cs="Times New Roman"/>
          <w:sz w:val="24"/>
          <w:szCs w:val="24"/>
          <w:lang w:val="lt-LT"/>
        </w:rPr>
        <w:t>, kuriems buvo patikrinta dantų būklė, turėjo sveikus dantis (t. y. neturėjo ėduonies pažeistų, plombuotų bei išrautų dantų). Sveikus dantis 0 – 2 m. amžiaus grupėje turėjo</w:t>
      </w:r>
      <w:r w:rsidR="00731F0F">
        <w:rPr>
          <w:rFonts w:ascii="Times New Roman" w:hAnsi="Times New Roman" w:cs="Times New Roman"/>
          <w:sz w:val="24"/>
          <w:szCs w:val="24"/>
          <w:lang w:val="lt-LT"/>
        </w:rPr>
        <w:t xml:space="preserve"> vienas iš keturių</w:t>
      </w:r>
      <w:r w:rsidRPr="00731F0F">
        <w:rPr>
          <w:rFonts w:ascii="Times New Roman" w:hAnsi="Times New Roman" w:cs="Times New Roman"/>
          <w:sz w:val="24"/>
          <w:szCs w:val="24"/>
          <w:lang w:val="lt-LT"/>
        </w:rPr>
        <w:t xml:space="preserve">, 3 – 4 m. </w:t>
      </w:r>
      <w:r w:rsidR="00C1396E" w:rsidRPr="00731F0F">
        <w:rPr>
          <w:rFonts w:ascii="Times New Roman" w:hAnsi="Times New Roman" w:cs="Times New Roman"/>
          <w:sz w:val="24"/>
          <w:szCs w:val="24"/>
          <w:lang w:val="lt-LT"/>
        </w:rPr>
        <w:t>–</w:t>
      </w:r>
      <w:r w:rsidRPr="00731F0F">
        <w:rPr>
          <w:rFonts w:ascii="Times New Roman" w:hAnsi="Times New Roman" w:cs="Times New Roman"/>
          <w:sz w:val="24"/>
          <w:szCs w:val="24"/>
          <w:lang w:val="lt-LT"/>
        </w:rPr>
        <w:t xml:space="preserve"> </w:t>
      </w:r>
      <w:r w:rsidR="00731F0F">
        <w:rPr>
          <w:rFonts w:ascii="Times New Roman" w:hAnsi="Times New Roman" w:cs="Times New Roman"/>
          <w:sz w:val="24"/>
          <w:szCs w:val="24"/>
          <w:lang w:val="lt-LT"/>
        </w:rPr>
        <w:t>du iš penkių</w:t>
      </w:r>
      <w:r w:rsidR="00C1396E" w:rsidRPr="00731F0F">
        <w:rPr>
          <w:rFonts w:ascii="Times New Roman" w:hAnsi="Times New Roman" w:cs="Times New Roman"/>
          <w:sz w:val="24"/>
          <w:szCs w:val="24"/>
          <w:lang w:val="lt-LT"/>
        </w:rPr>
        <w:t>.</w:t>
      </w:r>
      <w:r w:rsidRPr="00731F0F">
        <w:rPr>
          <w:rFonts w:ascii="Times New Roman" w:hAnsi="Times New Roman" w:cs="Times New Roman"/>
          <w:sz w:val="24"/>
          <w:szCs w:val="24"/>
          <w:lang w:val="lt-LT"/>
        </w:rPr>
        <w:t xml:space="preserve">, o 5 – 7 m. – </w:t>
      </w:r>
      <w:r w:rsidR="00731F0F">
        <w:rPr>
          <w:rFonts w:ascii="Times New Roman" w:hAnsi="Times New Roman" w:cs="Times New Roman"/>
          <w:sz w:val="24"/>
          <w:szCs w:val="24"/>
          <w:lang w:val="lt-LT"/>
        </w:rPr>
        <w:t>kas penktas vaikas</w:t>
      </w:r>
      <w:r w:rsidR="00C1396E" w:rsidRPr="00731F0F">
        <w:rPr>
          <w:rFonts w:ascii="Times New Roman" w:hAnsi="Times New Roman" w:cs="Times New Roman"/>
          <w:sz w:val="24"/>
          <w:szCs w:val="24"/>
          <w:lang w:val="lt-LT"/>
        </w:rPr>
        <w:t>.</w:t>
      </w:r>
      <w:r w:rsidR="00731F0F">
        <w:rPr>
          <w:rFonts w:ascii="Times New Roman" w:hAnsi="Times New Roman" w:cs="Times New Roman"/>
          <w:sz w:val="24"/>
          <w:szCs w:val="24"/>
          <w:lang w:val="lt-LT"/>
        </w:rPr>
        <w:t xml:space="preserve"> (4 </w:t>
      </w:r>
      <w:r w:rsidRPr="00731F0F">
        <w:rPr>
          <w:rFonts w:ascii="Times New Roman" w:hAnsi="Times New Roman" w:cs="Times New Roman"/>
          <w:sz w:val="24"/>
          <w:szCs w:val="24"/>
          <w:lang w:val="lt-LT"/>
        </w:rPr>
        <w:t>pav.).</w:t>
      </w:r>
      <w:r>
        <w:rPr>
          <w:rFonts w:ascii="Times New Roman" w:hAnsi="Times New Roman" w:cs="Times New Roman"/>
          <w:sz w:val="24"/>
          <w:szCs w:val="24"/>
          <w:lang w:val="lt-LT"/>
        </w:rPr>
        <w:t xml:space="preserve">  </w:t>
      </w:r>
    </w:p>
    <w:p w:rsidR="00315773" w:rsidRDefault="00315773" w:rsidP="00731F0F">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C1396E">
        <w:rPr>
          <w:noProof/>
          <w:lang w:val="lt-LT" w:eastAsia="lt-LT"/>
        </w:rPr>
        <w:drawing>
          <wp:inline distT="0" distB="0" distL="0" distR="0" wp14:anchorId="0DA80F53" wp14:editId="6109995F">
            <wp:extent cx="5638800" cy="2712720"/>
            <wp:effectExtent l="0" t="0" r="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5773" w:rsidRPr="00C5690C" w:rsidRDefault="00AE2597" w:rsidP="00731F0F">
      <w:pPr>
        <w:jc w:val="both"/>
        <w:rPr>
          <w:sz w:val="24"/>
          <w:szCs w:val="24"/>
          <w:lang w:val="lt-LT"/>
        </w:rPr>
      </w:pPr>
      <w:r>
        <w:rPr>
          <w:rFonts w:ascii="Times New Roman" w:hAnsi="Times New Roman" w:cs="Times New Roman"/>
          <w:b/>
          <w:sz w:val="24"/>
          <w:szCs w:val="24"/>
          <w:lang w:val="lt-LT"/>
        </w:rPr>
        <w:t>4</w:t>
      </w:r>
      <w:r w:rsidRPr="00731F0F">
        <w:rPr>
          <w:rFonts w:ascii="Times New Roman" w:hAnsi="Times New Roman" w:cs="Times New Roman"/>
          <w:b/>
          <w:sz w:val="24"/>
          <w:szCs w:val="24"/>
          <w:lang w:val="lt-LT"/>
        </w:rPr>
        <w:t xml:space="preserve"> </w:t>
      </w:r>
      <w:r w:rsidR="00315773" w:rsidRPr="00731F0F">
        <w:rPr>
          <w:rFonts w:ascii="Times New Roman" w:hAnsi="Times New Roman" w:cs="Times New Roman"/>
          <w:b/>
          <w:sz w:val="24"/>
          <w:szCs w:val="24"/>
          <w:lang w:val="lt-LT"/>
        </w:rPr>
        <w:t>pav.</w:t>
      </w:r>
      <w:r w:rsidR="00315773" w:rsidRPr="00AB016F">
        <w:rPr>
          <w:rFonts w:ascii="Times New Roman" w:hAnsi="Times New Roman" w:cs="Times New Roman"/>
          <w:sz w:val="24"/>
          <w:szCs w:val="24"/>
          <w:lang w:val="lt-LT"/>
        </w:rPr>
        <w:t xml:space="preserve"> </w:t>
      </w:r>
      <w:r w:rsidR="00315773" w:rsidRPr="00AB016F">
        <w:rPr>
          <w:rFonts w:ascii="Times New Roman" w:hAnsi="Times New Roman" w:cs="Times New Roman"/>
          <w:bCs/>
          <w:sz w:val="24"/>
          <w:szCs w:val="24"/>
          <w:lang w:val="lt-LT"/>
        </w:rPr>
        <w:t>Vaikų, neturinčių ėduonies pažeistų, plombuotų ir išrautų dantų</w:t>
      </w:r>
      <w:r w:rsidR="00315773">
        <w:rPr>
          <w:rFonts w:ascii="Times New Roman" w:hAnsi="Times New Roman" w:cs="Times New Roman"/>
          <w:bCs/>
          <w:sz w:val="24"/>
          <w:szCs w:val="24"/>
          <w:lang w:val="lt-LT"/>
        </w:rPr>
        <w:t>,</w:t>
      </w:r>
      <w:r w:rsidR="00315773" w:rsidRPr="00AB016F">
        <w:rPr>
          <w:rFonts w:ascii="Times New Roman" w:hAnsi="Times New Roman" w:cs="Times New Roman"/>
          <w:bCs/>
          <w:sz w:val="24"/>
          <w:szCs w:val="24"/>
          <w:lang w:val="lt-LT"/>
        </w:rPr>
        <w:t xml:space="preserve"> dalis</w:t>
      </w:r>
      <w:r w:rsidR="00315773" w:rsidRPr="00C5690C">
        <w:rPr>
          <w:rFonts w:ascii="Times New Roman" w:hAnsi="Times New Roman" w:cs="Times New Roman"/>
          <w:bCs/>
          <w:sz w:val="24"/>
          <w:szCs w:val="24"/>
          <w:lang w:val="lt-LT"/>
        </w:rPr>
        <w:t xml:space="preserve"> </w:t>
      </w:r>
      <w:r w:rsidR="00315773">
        <w:rPr>
          <w:rFonts w:ascii="Times New Roman" w:hAnsi="Times New Roman" w:cs="Times New Roman"/>
          <w:bCs/>
          <w:sz w:val="24"/>
          <w:szCs w:val="24"/>
          <w:lang w:val="lt-LT"/>
        </w:rPr>
        <w:t>pagal amžiaus grupes</w:t>
      </w:r>
      <w:r w:rsidR="00315773" w:rsidRPr="00AB016F">
        <w:rPr>
          <w:rFonts w:ascii="Times New Roman" w:hAnsi="Times New Roman" w:cs="Times New Roman"/>
          <w:bCs/>
          <w:sz w:val="24"/>
          <w:szCs w:val="24"/>
          <w:lang w:val="lt-LT"/>
        </w:rPr>
        <w:t xml:space="preserve"> (proc.)</w:t>
      </w:r>
    </w:p>
    <w:p w:rsidR="00315773" w:rsidRDefault="00315773" w:rsidP="00315773">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Susumavus pažymėjimuose pateiktus duomenis, buvo paskaičiuotas pieninių dantų ėduonies intensyvumo indeksas (kpi). Jis parodo, kiek vienam vaikui vidutiniškai tenka </w:t>
      </w:r>
      <w:r>
        <w:rPr>
          <w:rFonts w:ascii="Times New Roman" w:hAnsi="Times New Roman" w:cs="Times New Roman"/>
          <w:sz w:val="24"/>
          <w:szCs w:val="24"/>
          <w:lang w:val="lt-LT"/>
        </w:rPr>
        <w:lastRenderedPageBreak/>
        <w:t>ėduonies</w:t>
      </w:r>
      <w:r w:rsidRPr="0045278D">
        <w:rPr>
          <w:rFonts w:ascii="Times New Roman" w:hAnsi="Times New Roman" w:cs="Times New Roman"/>
          <w:sz w:val="24"/>
          <w:szCs w:val="24"/>
          <w:lang w:val="lt-LT"/>
        </w:rPr>
        <w:t xml:space="preserve"> </w:t>
      </w:r>
      <w:r>
        <w:rPr>
          <w:rFonts w:ascii="Times New Roman" w:hAnsi="Times New Roman" w:cs="Times New Roman"/>
          <w:sz w:val="24"/>
          <w:szCs w:val="24"/>
          <w:lang w:val="lt-LT"/>
        </w:rPr>
        <w:t>pažeistų, plombuotų bei išrautų dantų. Ėduonies i</w:t>
      </w:r>
      <w:r w:rsidRPr="00477FCE">
        <w:rPr>
          <w:rFonts w:ascii="Times New Roman" w:hAnsi="Times New Roman" w:cs="Times New Roman"/>
          <w:sz w:val="24"/>
          <w:szCs w:val="24"/>
          <w:lang w:val="lt-LT"/>
        </w:rPr>
        <w:t xml:space="preserve">ntensyvumas apibūdinamas kaip labai mažas, kai </w:t>
      </w:r>
      <w:r>
        <w:rPr>
          <w:rFonts w:ascii="Times New Roman" w:hAnsi="Times New Roman" w:cs="Times New Roman"/>
          <w:sz w:val="24"/>
          <w:szCs w:val="24"/>
          <w:lang w:val="lt-LT"/>
        </w:rPr>
        <w:t>kpi reikšmė</w:t>
      </w:r>
      <w:r w:rsidRPr="00477FCE">
        <w:rPr>
          <w:rFonts w:ascii="Times New Roman" w:hAnsi="Times New Roman" w:cs="Times New Roman"/>
          <w:sz w:val="24"/>
          <w:szCs w:val="24"/>
          <w:lang w:val="lt-LT"/>
        </w:rPr>
        <w:t xml:space="preserve"> svyruoja tarp 0 ir 1,0, mažas – tarp 1,0 ir 2,6, vidutinis – tarp 2,7 ir 4,4, didelis – tarp 4,5 – 6,6, labai didelis – daugiau nei 6,7.</w:t>
      </w:r>
    </w:p>
    <w:p w:rsidR="00315773" w:rsidRDefault="00315773" w:rsidP="00315773">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Bendras vaikų pieninių dantų ėduonie</w:t>
      </w:r>
      <w:r w:rsidR="006447C5">
        <w:rPr>
          <w:rFonts w:ascii="Times New Roman" w:hAnsi="Times New Roman" w:cs="Times New Roman"/>
          <w:sz w:val="24"/>
          <w:szCs w:val="24"/>
          <w:lang w:val="lt-LT"/>
        </w:rPr>
        <w:t>s intensyvumo indeksas buvo 1,60</w:t>
      </w:r>
      <w:r>
        <w:rPr>
          <w:rFonts w:ascii="Times New Roman" w:hAnsi="Times New Roman" w:cs="Times New Roman"/>
          <w:sz w:val="24"/>
          <w:szCs w:val="24"/>
          <w:lang w:val="lt-LT"/>
        </w:rPr>
        <w:t xml:space="preserve"> ir pateko į mažo intensyvumo grupę. Lyginant kpi pagal amžiaus grupes, jis kito nuo labai mažo (kpi – </w:t>
      </w:r>
      <w:r w:rsidR="006447C5">
        <w:rPr>
          <w:rFonts w:ascii="Times New Roman" w:hAnsi="Times New Roman" w:cs="Times New Roman"/>
          <w:sz w:val="24"/>
          <w:szCs w:val="24"/>
          <w:lang w:val="lt-LT"/>
        </w:rPr>
        <w:t>0,58</w:t>
      </w:r>
      <w:r>
        <w:rPr>
          <w:rFonts w:ascii="Times New Roman" w:hAnsi="Times New Roman" w:cs="Times New Roman"/>
          <w:sz w:val="24"/>
          <w:szCs w:val="24"/>
          <w:lang w:val="lt-LT"/>
        </w:rPr>
        <w:t xml:space="preserve">) stebimo 0 – 2 m. vaikų amžiaus grupėje iki mažo, kuris buvo stebimas tiek 3 – 4 m. (kpi </w:t>
      </w:r>
      <w:r w:rsidR="006447C5">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6447C5">
        <w:rPr>
          <w:rFonts w:ascii="Times New Roman" w:hAnsi="Times New Roman" w:cs="Times New Roman"/>
          <w:sz w:val="24"/>
          <w:szCs w:val="24"/>
          <w:lang w:val="lt-LT"/>
        </w:rPr>
        <w:t>2,20</w:t>
      </w:r>
      <w:r>
        <w:rPr>
          <w:rFonts w:ascii="Times New Roman" w:hAnsi="Times New Roman" w:cs="Times New Roman"/>
          <w:sz w:val="24"/>
          <w:szCs w:val="24"/>
          <w:lang w:val="lt-LT"/>
        </w:rPr>
        <w:t>), tiek ir 5 – 7 m</w:t>
      </w:r>
      <w:r w:rsidR="006447C5">
        <w:rPr>
          <w:rFonts w:ascii="Times New Roman" w:hAnsi="Times New Roman" w:cs="Times New Roman"/>
          <w:sz w:val="24"/>
          <w:szCs w:val="24"/>
          <w:lang w:val="lt-LT"/>
        </w:rPr>
        <w:t>. (kpi – 1,52</w:t>
      </w:r>
      <w:r>
        <w:rPr>
          <w:rFonts w:ascii="Times New Roman" w:hAnsi="Times New Roman" w:cs="Times New Roman"/>
          <w:sz w:val="24"/>
          <w:szCs w:val="24"/>
          <w:lang w:val="lt-LT"/>
        </w:rPr>
        <w:t xml:space="preserve">) amžiaus grupėse. </w:t>
      </w:r>
    </w:p>
    <w:p w:rsidR="00315773" w:rsidRDefault="006447C5" w:rsidP="00731F0F">
      <w:pPr>
        <w:jc w:val="both"/>
        <w:rPr>
          <w:rFonts w:ascii="Times New Roman" w:hAnsi="Times New Roman" w:cs="Times New Roman"/>
          <w:sz w:val="24"/>
          <w:szCs w:val="24"/>
          <w:lang w:val="lt-LT"/>
        </w:rPr>
      </w:pPr>
      <w:r>
        <w:rPr>
          <w:noProof/>
          <w:lang w:val="lt-LT" w:eastAsia="lt-LT"/>
        </w:rPr>
        <w:drawing>
          <wp:inline distT="0" distB="0" distL="0" distR="0" wp14:anchorId="16D668B9" wp14:editId="10119D41">
            <wp:extent cx="5695950" cy="2230120"/>
            <wp:effectExtent l="0" t="0" r="0"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5773" w:rsidRPr="00FA3572" w:rsidRDefault="00AE2597" w:rsidP="00315773">
      <w:pPr>
        <w:rPr>
          <w:rFonts w:ascii="Times New Roman" w:hAnsi="Times New Roman" w:cs="Times New Roman"/>
          <w:sz w:val="24"/>
          <w:szCs w:val="24"/>
          <w:lang w:val="lt-LT"/>
        </w:rPr>
      </w:pPr>
      <w:r w:rsidRPr="00731F0F">
        <w:rPr>
          <w:rFonts w:ascii="Times New Roman" w:hAnsi="Times New Roman" w:cs="Times New Roman"/>
          <w:b/>
          <w:sz w:val="24"/>
          <w:szCs w:val="24"/>
          <w:lang w:val="lt-LT"/>
        </w:rPr>
        <w:t xml:space="preserve">5 </w:t>
      </w:r>
      <w:r w:rsidR="00315773" w:rsidRPr="00731F0F">
        <w:rPr>
          <w:rFonts w:ascii="Times New Roman" w:hAnsi="Times New Roman" w:cs="Times New Roman"/>
          <w:b/>
          <w:sz w:val="24"/>
          <w:szCs w:val="24"/>
          <w:lang w:val="lt-LT"/>
        </w:rPr>
        <w:t>pav.</w:t>
      </w:r>
      <w:r w:rsidR="00315773">
        <w:rPr>
          <w:rFonts w:ascii="Times New Roman" w:hAnsi="Times New Roman" w:cs="Times New Roman"/>
          <w:sz w:val="24"/>
          <w:szCs w:val="24"/>
          <w:lang w:val="lt-LT"/>
        </w:rPr>
        <w:t xml:space="preserve"> Vidutinis pieninių dantų karieso intensyvumo (kpi) indeksas pagal amžiaus grupes</w:t>
      </w:r>
    </w:p>
    <w:p w:rsidR="00315773" w:rsidRPr="00850C9F" w:rsidRDefault="00315773" w:rsidP="00731F0F">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Vadovaujantis gydytojų odontologų pateiktais duomenimis, </w:t>
      </w:r>
      <w:r w:rsidR="00CA3BD3">
        <w:rPr>
          <w:rFonts w:ascii="Times New Roman" w:hAnsi="Times New Roman" w:cs="Times New Roman"/>
          <w:sz w:val="24"/>
          <w:szCs w:val="24"/>
          <w:lang w:val="lt-LT"/>
        </w:rPr>
        <w:t xml:space="preserve">pusė </w:t>
      </w:r>
      <w:r>
        <w:rPr>
          <w:rFonts w:ascii="Times New Roman" w:hAnsi="Times New Roman" w:cs="Times New Roman"/>
          <w:sz w:val="24"/>
          <w:szCs w:val="24"/>
          <w:lang w:val="lt-LT"/>
        </w:rPr>
        <w:t>(</w:t>
      </w:r>
      <w:r w:rsidR="00B92C46">
        <w:rPr>
          <w:rFonts w:ascii="Times New Roman" w:hAnsi="Times New Roman" w:cs="Times New Roman"/>
          <w:sz w:val="24"/>
          <w:szCs w:val="24"/>
          <w:lang w:val="lt-LT"/>
        </w:rPr>
        <w:t>53,03</w:t>
      </w:r>
      <w:r>
        <w:rPr>
          <w:rFonts w:ascii="Times New Roman" w:hAnsi="Times New Roman" w:cs="Times New Roman"/>
          <w:sz w:val="24"/>
          <w:szCs w:val="24"/>
          <w:lang w:val="lt-LT"/>
        </w:rPr>
        <w:t xml:space="preserve"> proc. arba </w:t>
      </w:r>
      <w:r w:rsidR="00B92C46">
        <w:rPr>
          <w:rFonts w:ascii="Times New Roman" w:hAnsi="Times New Roman" w:cs="Times New Roman"/>
          <w:sz w:val="24"/>
          <w:szCs w:val="24"/>
          <w:lang w:val="lt-LT"/>
        </w:rPr>
        <w:t>657</w:t>
      </w:r>
      <w:r>
        <w:rPr>
          <w:rFonts w:ascii="Times New Roman" w:hAnsi="Times New Roman" w:cs="Times New Roman"/>
          <w:sz w:val="24"/>
          <w:szCs w:val="24"/>
          <w:lang w:val="lt-LT"/>
        </w:rPr>
        <w:t xml:space="preserve">) vaikų </w:t>
      </w:r>
      <w:r w:rsidR="00CA3BD3">
        <w:rPr>
          <w:rFonts w:ascii="Times New Roman" w:hAnsi="Times New Roman" w:cs="Times New Roman"/>
          <w:sz w:val="24"/>
          <w:szCs w:val="24"/>
          <w:lang w:val="lt-LT"/>
        </w:rPr>
        <w:t>neturėjo sąkandžio patologijos,</w:t>
      </w:r>
      <w:r w:rsidRPr="004A36A5">
        <w:rPr>
          <w:rFonts w:ascii="Times New Roman" w:hAnsi="Times New Roman" w:cs="Times New Roman"/>
          <w:sz w:val="24"/>
          <w:szCs w:val="24"/>
          <w:lang w:val="lt-LT"/>
        </w:rPr>
        <w:t xml:space="preserve"> </w:t>
      </w:r>
      <w:r w:rsidR="00CA3BD3">
        <w:rPr>
          <w:rFonts w:ascii="Times New Roman" w:hAnsi="Times New Roman" w:cs="Times New Roman"/>
          <w:sz w:val="24"/>
          <w:szCs w:val="24"/>
          <w:lang w:val="lt-LT"/>
        </w:rPr>
        <w:t>5,41</w:t>
      </w:r>
      <w:r w:rsidR="00CA3BD3" w:rsidRPr="004A36A5">
        <w:rPr>
          <w:rFonts w:ascii="Times New Roman" w:hAnsi="Times New Roman" w:cs="Times New Roman"/>
          <w:sz w:val="24"/>
          <w:szCs w:val="24"/>
          <w:lang w:val="lt-LT"/>
        </w:rPr>
        <w:t xml:space="preserve"> proc. (</w:t>
      </w:r>
      <w:r w:rsidR="00CA3BD3">
        <w:rPr>
          <w:rFonts w:ascii="Times New Roman" w:hAnsi="Times New Roman" w:cs="Times New Roman"/>
          <w:sz w:val="24"/>
          <w:szCs w:val="24"/>
          <w:lang w:val="lt-LT"/>
        </w:rPr>
        <w:t>67) v</w:t>
      </w:r>
      <w:r w:rsidRPr="004A36A5">
        <w:rPr>
          <w:rFonts w:ascii="Times New Roman" w:hAnsi="Times New Roman" w:cs="Times New Roman"/>
          <w:sz w:val="24"/>
          <w:szCs w:val="24"/>
          <w:lang w:val="lt-LT"/>
        </w:rPr>
        <w:t>aikų</w:t>
      </w:r>
      <w:r w:rsidR="00CA3BD3">
        <w:rPr>
          <w:rFonts w:ascii="Times New Roman" w:hAnsi="Times New Roman" w:cs="Times New Roman"/>
          <w:sz w:val="24"/>
          <w:szCs w:val="24"/>
          <w:lang w:val="lt-LT"/>
        </w:rPr>
        <w:t xml:space="preserve"> turėjo</w:t>
      </w:r>
      <w:r w:rsidRPr="004A36A5">
        <w:rPr>
          <w:rFonts w:ascii="Times New Roman" w:hAnsi="Times New Roman" w:cs="Times New Roman"/>
          <w:sz w:val="24"/>
          <w:szCs w:val="24"/>
          <w:lang w:val="lt-LT"/>
        </w:rPr>
        <w:t xml:space="preserve"> pavienių dantų sąkandžio patologiją</w:t>
      </w:r>
      <w:r w:rsidR="00CA3BD3">
        <w:rPr>
          <w:rFonts w:ascii="Times New Roman" w:hAnsi="Times New Roman" w:cs="Times New Roman"/>
          <w:sz w:val="24"/>
          <w:szCs w:val="24"/>
          <w:lang w:val="lt-LT"/>
        </w:rPr>
        <w:t xml:space="preserve">, </w:t>
      </w:r>
      <w:r w:rsidRPr="004A36A5">
        <w:rPr>
          <w:rFonts w:ascii="Times New Roman" w:hAnsi="Times New Roman" w:cs="Times New Roman"/>
          <w:sz w:val="24"/>
          <w:szCs w:val="24"/>
          <w:lang w:val="lt-LT"/>
        </w:rPr>
        <w:t xml:space="preserve"> </w:t>
      </w:r>
      <w:r w:rsidR="00CA3BD3">
        <w:rPr>
          <w:rFonts w:ascii="Times New Roman" w:hAnsi="Times New Roman" w:cs="Times New Roman"/>
          <w:sz w:val="24"/>
          <w:szCs w:val="24"/>
          <w:lang w:val="lt-LT"/>
        </w:rPr>
        <w:t>41,57</w:t>
      </w:r>
      <w:r w:rsidR="00CA3BD3" w:rsidRPr="004A36A5">
        <w:rPr>
          <w:rFonts w:ascii="Times New Roman" w:hAnsi="Times New Roman" w:cs="Times New Roman"/>
          <w:sz w:val="24"/>
          <w:szCs w:val="24"/>
          <w:lang w:val="lt-LT"/>
        </w:rPr>
        <w:t xml:space="preserve"> proc. (</w:t>
      </w:r>
      <w:r w:rsidR="00CA3BD3">
        <w:rPr>
          <w:rFonts w:ascii="Times New Roman" w:hAnsi="Times New Roman" w:cs="Times New Roman"/>
          <w:sz w:val="24"/>
          <w:szCs w:val="24"/>
          <w:lang w:val="lt-LT"/>
        </w:rPr>
        <w:t>515) turėjo</w:t>
      </w:r>
      <w:r w:rsidRPr="004A36A5">
        <w:rPr>
          <w:rFonts w:ascii="Times New Roman" w:hAnsi="Times New Roman" w:cs="Times New Roman"/>
          <w:sz w:val="24"/>
          <w:szCs w:val="24"/>
          <w:lang w:val="lt-LT"/>
        </w:rPr>
        <w:t xml:space="preserve"> žandikaulių sąkandžio patologiją</w:t>
      </w:r>
      <w:r w:rsidR="00CA3BD3">
        <w:rPr>
          <w:rFonts w:ascii="Times New Roman" w:hAnsi="Times New Roman" w:cs="Times New Roman"/>
          <w:sz w:val="24"/>
          <w:szCs w:val="24"/>
          <w:lang w:val="lt-LT"/>
        </w:rPr>
        <w:t>.</w:t>
      </w:r>
    </w:p>
    <w:p w:rsidR="00315773" w:rsidRDefault="00B92C46" w:rsidP="00731F0F">
      <w:pPr>
        <w:rPr>
          <w:rFonts w:ascii="Times New Roman" w:hAnsi="Times New Roman" w:cs="Times New Roman"/>
          <w:sz w:val="24"/>
          <w:szCs w:val="24"/>
          <w:lang w:val="lt-LT"/>
        </w:rPr>
      </w:pPr>
      <w:r>
        <w:rPr>
          <w:noProof/>
          <w:lang w:val="lt-LT" w:eastAsia="lt-LT"/>
        </w:rPr>
        <w:drawing>
          <wp:inline distT="0" distB="0" distL="0" distR="0" wp14:anchorId="6D1B62AC" wp14:editId="5115DBDF">
            <wp:extent cx="5657850" cy="2861310"/>
            <wp:effectExtent l="0" t="0" r="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5773" w:rsidRPr="00FA3572" w:rsidRDefault="00731F0F" w:rsidP="00731F0F">
      <w:pPr>
        <w:rPr>
          <w:rFonts w:ascii="Times New Roman" w:hAnsi="Times New Roman" w:cs="Times New Roman"/>
          <w:sz w:val="24"/>
          <w:szCs w:val="24"/>
          <w:lang w:val="lt-LT"/>
        </w:rPr>
      </w:pPr>
      <w:r>
        <w:rPr>
          <w:rFonts w:ascii="Times New Roman" w:hAnsi="Times New Roman" w:cs="Times New Roman"/>
          <w:b/>
          <w:sz w:val="24"/>
          <w:szCs w:val="24"/>
          <w:lang w:val="lt-LT"/>
        </w:rPr>
        <w:t>6</w:t>
      </w:r>
      <w:r w:rsidR="00315773" w:rsidRPr="00731F0F">
        <w:rPr>
          <w:rFonts w:ascii="Times New Roman" w:hAnsi="Times New Roman" w:cs="Times New Roman"/>
          <w:b/>
          <w:sz w:val="24"/>
          <w:szCs w:val="24"/>
          <w:lang w:val="lt-LT"/>
        </w:rPr>
        <w:t xml:space="preserve"> pav.</w:t>
      </w:r>
      <w:r w:rsidR="00315773" w:rsidRPr="00AB016F">
        <w:rPr>
          <w:rFonts w:ascii="Times New Roman" w:hAnsi="Times New Roman" w:cs="Times New Roman"/>
          <w:sz w:val="24"/>
          <w:szCs w:val="24"/>
          <w:lang w:val="lt-LT"/>
        </w:rPr>
        <w:t xml:space="preserve"> </w:t>
      </w:r>
      <w:r w:rsidR="00315773" w:rsidRPr="00AB016F">
        <w:rPr>
          <w:rFonts w:ascii="Times New Roman" w:hAnsi="Times New Roman" w:cs="Times New Roman"/>
          <w:bCs/>
          <w:sz w:val="24"/>
          <w:szCs w:val="24"/>
          <w:lang w:val="lt-LT"/>
        </w:rPr>
        <w:t xml:space="preserve">Vaikų, </w:t>
      </w:r>
      <w:r w:rsidR="00315773">
        <w:rPr>
          <w:rFonts w:ascii="Times New Roman" w:hAnsi="Times New Roman" w:cs="Times New Roman"/>
          <w:bCs/>
          <w:sz w:val="24"/>
          <w:szCs w:val="24"/>
          <w:lang w:val="lt-LT"/>
        </w:rPr>
        <w:t>turinčių sąkandžio patologiją (žandikaulio ir pavienių dantų),</w:t>
      </w:r>
      <w:r w:rsidR="00315773" w:rsidRPr="00AB016F">
        <w:rPr>
          <w:rFonts w:ascii="Times New Roman" w:hAnsi="Times New Roman" w:cs="Times New Roman"/>
          <w:bCs/>
          <w:sz w:val="24"/>
          <w:szCs w:val="24"/>
          <w:lang w:val="lt-LT"/>
        </w:rPr>
        <w:t xml:space="preserve"> dalis</w:t>
      </w:r>
      <w:r w:rsidR="00315773" w:rsidRPr="00C5690C">
        <w:rPr>
          <w:rFonts w:ascii="Times New Roman" w:hAnsi="Times New Roman" w:cs="Times New Roman"/>
          <w:bCs/>
          <w:sz w:val="24"/>
          <w:szCs w:val="24"/>
          <w:lang w:val="lt-LT"/>
        </w:rPr>
        <w:t xml:space="preserve"> </w:t>
      </w:r>
      <w:r w:rsidR="00315773" w:rsidRPr="00AB016F">
        <w:rPr>
          <w:rFonts w:ascii="Times New Roman" w:hAnsi="Times New Roman" w:cs="Times New Roman"/>
          <w:bCs/>
          <w:sz w:val="24"/>
          <w:szCs w:val="24"/>
          <w:lang w:val="lt-LT"/>
        </w:rPr>
        <w:t>(proc.)</w:t>
      </w:r>
    </w:p>
    <w:p w:rsidR="00356C09" w:rsidRPr="00AE2597" w:rsidRDefault="002C4C5D">
      <w:pPr>
        <w:rPr>
          <w:lang w:val="lt-LT"/>
        </w:rPr>
      </w:pPr>
    </w:p>
    <w:sectPr w:rsidR="00356C09" w:rsidRPr="00AE2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73"/>
    <w:rsid w:val="000E1727"/>
    <w:rsid w:val="002C4C5D"/>
    <w:rsid w:val="00315773"/>
    <w:rsid w:val="006447C5"/>
    <w:rsid w:val="00731F0F"/>
    <w:rsid w:val="00863248"/>
    <w:rsid w:val="008C5166"/>
    <w:rsid w:val="00922289"/>
    <w:rsid w:val="00966811"/>
    <w:rsid w:val="009B48EB"/>
    <w:rsid w:val="00AE2597"/>
    <w:rsid w:val="00B92C46"/>
    <w:rsid w:val="00BB4961"/>
    <w:rsid w:val="00C1396E"/>
    <w:rsid w:val="00C27D5D"/>
    <w:rsid w:val="00CA3BD3"/>
    <w:rsid w:val="00EC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6B980-CF9D-465D-8B58-11A1023E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5773"/>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E259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25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image" Target="media/image1.jpeg"/><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Darbas\Darbas\Sveikatos%20ataskaitos\Dar&#382;eliai\Lentel&#279;s%20dar&#382;eliams\Dar&#382;eli&#371;%20ataskaitos%20+%20formul&#279;s%202015-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arbas\Darbas\Sveikatos%20ataskaitos\Dar&#382;eliai\Lentel&#279;s%20dar&#382;eliams\Dar&#382;eli&#371;%20ataskaitos%20+%20formul&#279;s%202015-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arbas\Darbas\Sveikatos%20ataskaitos\Dar&#382;eliai\Lentel&#279;s%20dar&#382;eliams\Dar&#382;eli&#371;%20ataskaitos%20+%20formul&#279;s%202015-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arbas\Darbas\Sveikatos%20ataskaitos\Dar&#382;eliai\Lentel&#279;s%20dar&#382;eliams\Dar&#382;eli&#371;%20ataskaitos%20+%20formul&#279;s%202015-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arbas\Darbas\Sveikatos%20ataskaitos\Dar&#382;eliai\Lentel&#279;s%20dar&#382;eliams\Dar&#382;eli&#371;%20ataskaitos%20+%20formul&#279;s%202015-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Darbas\Darbas\Sveikatos%20ataskaitos\Dar&#382;eliai\Lentel&#279;s%20dar&#382;eliams\Dar&#382;eli&#371;%20ataskaitos%20+%20formul&#279;s%202015-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bendras'!$I$30:$R$30</c:f>
              <c:strCache>
                <c:ptCount val="10"/>
                <c:pt idx="0">
                  <c:v>Regos sistemos sutrikimai</c:v>
                </c:pt>
                <c:pt idx="1">
                  <c:v>Kraujotakos sistemos sutrikimai</c:v>
                </c:pt>
                <c:pt idx="2">
                  <c:v>Kvėpavimo sistemos sutrikimai</c:v>
                </c:pt>
                <c:pt idx="3">
                  <c:v>Nervų sistemos sutrikimai</c:v>
                </c:pt>
                <c:pt idx="4">
                  <c:v>Virškinimo sistemos sutrikimai</c:v>
                </c:pt>
                <c:pt idx="5">
                  <c:v>Urogenitalinės sistemos sutrikimai</c:v>
                </c:pt>
                <c:pt idx="6">
                  <c:v>Endokrininės sistemos sutrikimai</c:v>
                </c:pt>
                <c:pt idx="7">
                  <c:v>Oda ir jos priedų sutrikimai</c:v>
                </c:pt>
                <c:pt idx="8">
                  <c:v>Skeleto - raumenų sistemos sutrikimai</c:v>
                </c:pt>
                <c:pt idx="9">
                  <c:v>Kitų ligų sutrikimai</c:v>
                </c:pt>
              </c:strCache>
            </c:strRef>
          </c:cat>
          <c:val>
            <c:numRef>
              <c:f>'Raj bendras'!$I$32:$R$32</c:f>
              <c:numCache>
                <c:formatCode>General</c:formatCode>
                <c:ptCount val="10"/>
                <c:pt idx="0">
                  <c:v>130</c:v>
                </c:pt>
                <c:pt idx="1">
                  <c:v>109</c:v>
                </c:pt>
                <c:pt idx="2">
                  <c:v>98</c:v>
                </c:pt>
                <c:pt idx="3">
                  <c:v>35</c:v>
                </c:pt>
                <c:pt idx="4">
                  <c:v>10</c:v>
                </c:pt>
                <c:pt idx="5">
                  <c:v>5</c:v>
                </c:pt>
                <c:pt idx="6">
                  <c:v>5</c:v>
                </c:pt>
                <c:pt idx="7">
                  <c:v>31</c:v>
                </c:pt>
                <c:pt idx="8">
                  <c:v>110</c:v>
                </c:pt>
                <c:pt idx="9">
                  <c:v>22</c:v>
                </c:pt>
              </c:numCache>
            </c:numRef>
          </c:val>
        </c:ser>
        <c:dLbls>
          <c:dLblPos val="outEnd"/>
          <c:showLegendKey val="0"/>
          <c:showVal val="1"/>
          <c:showCatName val="0"/>
          <c:showSerName val="0"/>
          <c:showPercent val="0"/>
          <c:showBubbleSize val="0"/>
        </c:dLbls>
        <c:gapWidth val="219"/>
        <c:overlap val="-27"/>
        <c:axId val="402450912"/>
        <c:axId val="402445816"/>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'Raj bendras'!$I$30:$R$30</c15:sqref>
                        </c15:formulaRef>
                      </c:ext>
                    </c:extLst>
                    <c:strCache>
                      <c:ptCount val="10"/>
                      <c:pt idx="0">
                        <c:v>Regos sistemos sutrikimai</c:v>
                      </c:pt>
                      <c:pt idx="1">
                        <c:v>Kraujotakos sistemos sutrikimai</c:v>
                      </c:pt>
                      <c:pt idx="2">
                        <c:v>Kvėpavimo sistemos sutrikimai</c:v>
                      </c:pt>
                      <c:pt idx="3">
                        <c:v>Nervų sistemos sutrikimai</c:v>
                      </c:pt>
                      <c:pt idx="4">
                        <c:v>Virškinimo sistemos sutrikimai</c:v>
                      </c:pt>
                      <c:pt idx="5">
                        <c:v>Urogenitalinės sistemos sutrikimai</c:v>
                      </c:pt>
                      <c:pt idx="6">
                        <c:v>Endokrininės sistemos sutrikimai</c:v>
                      </c:pt>
                      <c:pt idx="7">
                        <c:v>Oda ir jos priedų sutrikimai</c:v>
                      </c:pt>
                      <c:pt idx="8">
                        <c:v>Skeleto - raumenų sistemos sutrikimai</c:v>
                      </c:pt>
                      <c:pt idx="9">
                        <c:v>Kitų ligų sutrikimai</c:v>
                      </c:pt>
                    </c:strCache>
                  </c:strRef>
                </c:cat>
                <c:val>
                  <c:numRef>
                    <c:extLst>
                      <c:ext uri="{02D57815-91ED-43cb-92C2-25804820EDAC}">
                        <c15:formulaRef>
                          <c15:sqref>'Raj bendras'!$I$31:$R$31</c15:sqref>
                        </c15:formulaRef>
                      </c:ext>
                    </c:extLst>
                    <c:numCache>
                      <c:formatCode>General</c:formatCode>
                      <c:ptCount val="10"/>
                    </c:numCache>
                  </c:numRef>
                </c:val>
              </c15:ser>
            </c15:filteredBarSeries>
          </c:ext>
        </c:extLst>
      </c:barChart>
      <c:catAx>
        <c:axId val="40245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45816"/>
        <c:crosses val="autoZero"/>
        <c:auto val="1"/>
        <c:lblAlgn val="ctr"/>
        <c:lblOffset val="100"/>
        <c:noMultiLvlLbl val="0"/>
      </c:catAx>
      <c:valAx>
        <c:axId val="402445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Sutrikim</a:t>
                </a:r>
                <a:r>
                  <a:rPr lang="lt-LT" b="1"/>
                  <a:t>ų skaičius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5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'Raj bendras'!$V$30</c:f>
              <c:strCache>
                <c:ptCount val="1"/>
                <c:pt idx="0">
                  <c:v>Regos sistemos sutrikimai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bendras'!$U$32:$U$34</c:f>
              <c:strCache>
                <c:ptCount val="3"/>
                <c:pt idx="0">
                  <c:v>0 - 2 metų</c:v>
                </c:pt>
                <c:pt idx="1">
                  <c:v>3 - 4 metų</c:v>
                </c:pt>
                <c:pt idx="2">
                  <c:v>5 - 7 metų</c:v>
                </c:pt>
              </c:strCache>
            </c:strRef>
          </c:cat>
          <c:val>
            <c:numRef>
              <c:f>'Raj bendras'!$V$32:$V$34</c:f>
              <c:numCache>
                <c:formatCode>General</c:formatCode>
                <c:ptCount val="3"/>
                <c:pt idx="0">
                  <c:v>23</c:v>
                </c:pt>
                <c:pt idx="1">
                  <c:v>62</c:v>
                </c:pt>
                <c:pt idx="2">
                  <c:v>45</c:v>
                </c:pt>
              </c:numCache>
            </c:numRef>
          </c:val>
        </c:ser>
        <c:ser>
          <c:idx val="1"/>
          <c:order val="1"/>
          <c:tx>
            <c:strRef>
              <c:f>'Raj bendras'!$W$30</c:f>
              <c:strCache>
                <c:ptCount val="1"/>
                <c:pt idx="0">
                  <c:v>Kraujotakos sistemos sutrikimai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bendras'!$U$32:$U$34</c:f>
              <c:strCache>
                <c:ptCount val="3"/>
                <c:pt idx="0">
                  <c:v>0 - 2 metų</c:v>
                </c:pt>
                <c:pt idx="1">
                  <c:v>3 - 4 metų</c:v>
                </c:pt>
                <c:pt idx="2">
                  <c:v>5 - 7 metų</c:v>
                </c:pt>
              </c:strCache>
            </c:strRef>
          </c:cat>
          <c:val>
            <c:numRef>
              <c:f>'Raj bendras'!$W$32:$W$34</c:f>
              <c:numCache>
                <c:formatCode>General</c:formatCode>
                <c:ptCount val="3"/>
                <c:pt idx="0">
                  <c:v>29</c:v>
                </c:pt>
                <c:pt idx="1">
                  <c:v>58</c:v>
                </c:pt>
                <c:pt idx="2">
                  <c:v>22</c:v>
                </c:pt>
              </c:numCache>
            </c:numRef>
          </c:val>
        </c:ser>
        <c:ser>
          <c:idx val="2"/>
          <c:order val="2"/>
          <c:tx>
            <c:strRef>
              <c:f>'Raj bendras'!$X$30</c:f>
              <c:strCache>
                <c:ptCount val="1"/>
                <c:pt idx="0">
                  <c:v>Kvėpavimo sistemos sutrikimai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bendras'!$U$32:$U$34</c:f>
              <c:strCache>
                <c:ptCount val="3"/>
                <c:pt idx="0">
                  <c:v>0 - 2 metų</c:v>
                </c:pt>
                <c:pt idx="1">
                  <c:v>3 - 4 metų</c:v>
                </c:pt>
                <c:pt idx="2">
                  <c:v>5 - 7 metų</c:v>
                </c:pt>
              </c:strCache>
            </c:strRef>
          </c:cat>
          <c:val>
            <c:numRef>
              <c:f>'Raj bendras'!$X$32:$X$34</c:f>
              <c:numCache>
                <c:formatCode>General</c:formatCode>
                <c:ptCount val="3"/>
                <c:pt idx="0">
                  <c:v>16</c:v>
                </c:pt>
                <c:pt idx="1">
                  <c:v>55</c:v>
                </c:pt>
                <c:pt idx="2">
                  <c:v>27</c:v>
                </c:pt>
              </c:numCache>
            </c:numRef>
          </c:val>
        </c:ser>
        <c:ser>
          <c:idx val="3"/>
          <c:order val="3"/>
          <c:tx>
            <c:strRef>
              <c:f>'Raj bendras'!$Y$30</c:f>
              <c:strCache>
                <c:ptCount val="1"/>
                <c:pt idx="0">
                  <c:v>Nervų sistemos sutrikimai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bendras'!$U$32:$U$34</c:f>
              <c:strCache>
                <c:ptCount val="3"/>
                <c:pt idx="0">
                  <c:v>0 - 2 metų</c:v>
                </c:pt>
                <c:pt idx="1">
                  <c:v>3 - 4 metų</c:v>
                </c:pt>
                <c:pt idx="2">
                  <c:v>5 - 7 metų</c:v>
                </c:pt>
              </c:strCache>
            </c:strRef>
          </c:cat>
          <c:val>
            <c:numRef>
              <c:f>'Raj bendras'!$Y$32:$Y$34</c:f>
              <c:numCache>
                <c:formatCode>General</c:formatCode>
                <c:ptCount val="3"/>
                <c:pt idx="0">
                  <c:v>4</c:v>
                </c:pt>
                <c:pt idx="1">
                  <c:v>20</c:v>
                </c:pt>
                <c:pt idx="2">
                  <c:v>11</c:v>
                </c:pt>
              </c:numCache>
            </c:numRef>
          </c:val>
        </c:ser>
        <c:ser>
          <c:idx val="4"/>
          <c:order val="4"/>
          <c:tx>
            <c:strRef>
              <c:f>'Raj bendras'!$Z$30</c:f>
              <c:strCache>
                <c:ptCount val="1"/>
                <c:pt idx="0">
                  <c:v>Oda ir jos priedų sutrikimai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bendras'!$U$32:$U$34</c:f>
              <c:strCache>
                <c:ptCount val="3"/>
                <c:pt idx="0">
                  <c:v>0 - 2 metų</c:v>
                </c:pt>
                <c:pt idx="1">
                  <c:v>3 - 4 metų</c:v>
                </c:pt>
                <c:pt idx="2">
                  <c:v>5 - 7 metų</c:v>
                </c:pt>
              </c:strCache>
            </c:strRef>
          </c:cat>
          <c:val>
            <c:numRef>
              <c:f>'Raj bendras'!$Z$32:$Z$34</c:f>
              <c:numCache>
                <c:formatCode>General</c:formatCode>
                <c:ptCount val="3"/>
                <c:pt idx="0">
                  <c:v>14</c:v>
                </c:pt>
                <c:pt idx="1">
                  <c:v>12</c:v>
                </c:pt>
                <c:pt idx="2">
                  <c:v>5</c:v>
                </c:pt>
              </c:numCache>
            </c:numRef>
          </c:val>
        </c:ser>
        <c:ser>
          <c:idx val="5"/>
          <c:order val="5"/>
          <c:tx>
            <c:strRef>
              <c:f>'Raj bendras'!$AA$30</c:f>
              <c:strCache>
                <c:ptCount val="1"/>
                <c:pt idx="0">
                  <c:v>Skeleto - raumenų sistemos sutrikimai</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bendras'!$U$32:$U$34</c:f>
              <c:strCache>
                <c:ptCount val="3"/>
                <c:pt idx="0">
                  <c:v>0 - 2 metų</c:v>
                </c:pt>
                <c:pt idx="1">
                  <c:v>3 - 4 metų</c:v>
                </c:pt>
                <c:pt idx="2">
                  <c:v>5 - 7 metų</c:v>
                </c:pt>
              </c:strCache>
            </c:strRef>
          </c:cat>
          <c:val>
            <c:numRef>
              <c:f>'Raj bendras'!$AA$32:$AA$34</c:f>
              <c:numCache>
                <c:formatCode>General</c:formatCode>
                <c:ptCount val="3"/>
                <c:pt idx="0">
                  <c:v>15</c:v>
                </c:pt>
                <c:pt idx="1">
                  <c:v>58</c:v>
                </c:pt>
                <c:pt idx="2">
                  <c:v>37</c:v>
                </c:pt>
              </c:numCache>
            </c:numRef>
          </c:val>
        </c:ser>
        <c:ser>
          <c:idx val="6"/>
          <c:order val="6"/>
          <c:tx>
            <c:strRef>
              <c:f>'Raj bendras'!$AB$30</c:f>
              <c:strCache>
                <c:ptCount val="1"/>
                <c:pt idx="0">
                  <c:v>Kitų ligų sutrikimai</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bendras'!$U$32:$U$34</c:f>
              <c:strCache>
                <c:ptCount val="3"/>
                <c:pt idx="0">
                  <c:v>0 - 2 metų</c:v>
                </c:pt>
                <c:pt idx="1">
                  <c:v>3 - 4 metų</c:v>
                </c:pt>
                <c:pt idx="2">
                  <c:v>5 - 7 metų</c:v>
                </c:pt>
              </c:strCache>
            </c:strRef>
          </c:cat>
          <c:val>
            <c:numRef>
              <c:f>'Raj bendras'!$AB$32:$AB$34</c:f>
              <c:numCache>
                <c:formatCode>General</c:formatCode>
                <c:ptCount val="3"/>
                <c:pt idx="0">
                  <c:v>8</c:v>
                </c:pt>
                <c:pt idx="1">
                  <c:v>15</c:v>
                </c:pt>
                <c:pt idx="2">
                  <c:v>19</c:v>
                </c:pt>
              </c:numCache>
            </c:numRef>
          </c:val>
        </c:ser>
        <c:dLbls>
          <c:dLblPos val="outEnd"/>
          <c:showLegendKey val="0"/>
          <c:showVal val="1"/>
          <c:showCatName val="0"/>
          <c:showSerName val="0"/>
          <c:showPercent val="0"/>
          <c:showBubbleSize val="0"/>
        </c:dLbls>
        <c:gapWidth val="219"/>
        <c:overlap val="-27"/>
        <c:axId val="402447384"/>
        <c:axId val="402452480"/>
      </c:barChart>
      <c:catAx>
        <c:axId val="40244738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b="1"/>
                  <a:t>Amžiaus grupė</a:t>
                </a:r>
                <a:endParaRPr lang="en-US"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52480"/>
        <c:crosses val="autoZero"/>
        <c:auto val="1"/>
        <c:lblAlgn val="ctr"/>
        <c:lblOffset val="100"/>
        <c:noMultiLvlLbl val="0"/>
      </c:catAx>
      <c:valAx>
        <c:axId val="40245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b="1"/>
                  <a:t>Sutrikimų skaičius</a:t>
                </a:r>
                <a:endParaRPr lang="en-US" b="1"/>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47384"/>
        <c:crosses val="autoZero"/>
        <c:crossBetween val="between"/>
      </c:valAx>
      <c:spPr>
        <a:noFill/>
        <a:ln>
          <a:noFill/>
        </a:ln>
        <a:effectLst/>
      </c:spPr>
    </c:plotArea>
    <c:legend>
      <c:legendPos val="l"/>
      <c:layout>
        <c:manualLayout>
          <c:xMode val="edge"/>
          <c:yMode val="edge"/>
          <c:x val="8.8812001839050525E-2"/>
          <c:y val="4.0273000885498587E-2"/>
          <c:w val="0.31639867516825482"/>
          <c:h val="0.41875633990734479"/>
        </c:manualLayout>
      </c:layout>
      <c:overlay val="1"/>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'Raj bendras'!$J$49</c:f>
              <c:strCache>
                <c:ptCount val="1"/>
                <c:pt idx="0">
                  <c:v>Vaikų pateikusių pažymas su odontologo įrašu dalis (proc.)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bendras'!$I$50:$I$52</c:f>
              <c:strCache>
                <c:ptCount val="3"/>
                <c:pt idx="0">
                  <c:v>0 - 2 metų</c:v>
                </c:pt>
                <c:pt idx="1">
                  <c:v>3 - 4 metų</c:v>
                </c:pt>
                <c:pt idx="2">
                  <c:v>5 - 7 metų</c:v>
                </c:pt>
              </c:strCache>
            </c:strRef>
          </c:cat>
          <c:val>
            <c:numRef>
              <c:f>'Raj bendras'!$J$50:$J$52</c:f>
              <c:numCache>
                <c:formatCode>0.00</c:formatCode>
                <c:ptCount val="3"/>
                <c:pt idx="0">
                  <c:v>94.788273615635177</c:v>
                </c:pt>
                <c:pt idx="1">
                  <c:v>91.181364392678873</c:v>
                </c:pt>
                <c:pt idx="2">
                  <c:v>95.238095238095241</c:v>
                </c:pt>
              </c:numCache>
            </c:numRef>
          </c:val>
        </c:ser>
        <c:dLbls>
          <c:dLblPos val="outEnd"/>
          <c:showLegendKey val="0"/>
          <c:showVal val="1"/>
          <c:showCatName val="0"/>
          <c:showSerName val="0"/>
          <c:showPercent val="0"/>
          <c:showBubbleSize val="0"/>
        </c:dLbls>
        <c:gapWidth val="182"/>
        <c:axId val="402441112"/>
        <c:axId val="402441896"/>
      </c:barChart>
      <c:catAx>
        <c:axId val="402441112"/>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b="1"/>
                  <a:t>Amžiaus grupė</a:t>
                </a:r>
                <a:endParaRPr lang="en-US"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41896"/>
        <c:crosses val="autoZero"/>
        <c:auto val="1"/>
        <c:lblAlgn val="ctr"/>
        <c:lblOffset val="100"/>
        <c:noMultiLvlLbl val="0"/>
      </c:catAx>
      <c:valAx>
        <c:axId val="4024418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Procentai</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411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'Raj bendras'!$N$49</c:f>
              <c:strCache>
                <c:ptCount val="1"/>
                <c:pt idx="0">
                  <c:v>Vaikų, neturinčių ėduonies pažeistų, plombuotų ir ištrauktų dantų, dalis (proc.)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bendras'!$M$50:$M$52</c:f>
              <c:strCache>
                <c:ptCount val="3"/>
                <c:pt idx="0">
                  <c:v>0 - 2 metų</c:v>
                </c:pt>
                <c:pt idx="1">
                  <c:v>3 - 4 metų</c:v>
                </c:pt>
                <c:pt idx="2">
                  <c:v>5 - 7 metų</c:v>
                </c:pt>
              </c:strCache>
            </c:strRef>
          </c:cat>
          <c:val>
            <c:numRef>
              <c:f>'Raj bendras'!$N$50:$N$52</c:f>
              <c:numCache>
                <c:formatCode>0.00</c:formatCode>
                <c:ptCount val="3"/>
                <c:pt idx="0">
                  <c:v>26.460481099656356</c:v>
                </c:pt>
                <c:pt idx="1">
                  <c:v>37.773722627737229</c:v>
                </c:pt>
                <c:pt idx="2">
                  <c:v>20.25</c:v>
                </c:pt>
              </c:numCache>
            </c:numRef>
          </c:val>
        </c:ser>
        <c:dLbls>
          <c:dLblPos val="outEnd"/>
          <c:showLegendKey val="0"/>
          <c:showVal val="1"/>
          <c:showCatName val="0"/>
          <c:showSerName val="0"/>
          <c:showPercent val="0"/>
          <c:showBubbleSize val="0"/>
        </c:dLbls>
        <c:gapWidth val="182"/>
        <c:axId val="402440328"/>
        <c:axId val="402442288"/>
      </c:barChart>
      <c:catAx>
        <c:axId val="402440328"/>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b="1"/>
                  <a:t>Amžiaus grupė</a:t>
                </a:r>
                <a:endParaRPr lang="en-US"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42288"/>
        <c:crosses val="autoZero"/>
        <c:auto val="1"/>
        <c:lblAlgn val="ctr"/>
        <c:lblOffset val="100"/>
        <c:noMultiLvlLbl val="0"/>
      </c:catAx>
      <c:valAx>
        <c:axId val="4024422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b="1"/>
                  <a:t>Procentai</a:t>
                </a:r>
                <a:endParaRPr lang="en-US" b="1"/>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40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'Raj bendras'!$AF$36</c:f>
              <c:strCache>
                <c:ptCount val="1"/>
                <c:pt idx="0">
                  <c:v>kpi indeksas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bendras'!$AE$37:$AE$39</c:f>
              <c:strCache>
                <c:ptCount val="3"/>
                <c:pt idx="0">
                  <c:v>0 - 2 metų</c:v>
                </c:pt>
                <c:pt idx="1">
                  <c:v>3 - 4 metų</c:v>
                </c:pt>
                <c:pt idx="2">
                  <c:v>5 - 7 metų</c:v>
                </c:pt>
              </c:strCache>
            </c:strRef>
          </c:cat>
          <c:val>
            <c:numRef>
              <c:f>'Raj bendras'!$AF$37:$AF$39</c:f>
              <c:numCache>
                <c:formatCode>0.00</c:formatCode>
                <c:ptCount val="3"/>
                <c:pt idx="0">
                  <c:v>0.58075601374570451</c:v>
                </c:pt>
                <c:pt idx="1">
                  <c:v>2.1952554744525545</c:v>
                </c:pt>
                <c:pt idx="2">
                  <c:v>1.5225</c:v>
                </c:pt>
              </c:numCache>
            </c:numRef>
          </c:val>
          <c:smooth val="0"/>
        </c:ser>
        <c:dLbls>
          <c:dLblPos val="t"/>
          <c:showLegendKey val="0"/>
          <c:showVal val="1"/>
          <c:showCatName val="0"/>
          <c:showSerName val="0"/>
          <c:showPercent val="0"/>
          <c:showBubbleSize val="0"/>
        </c:dLbls>
        <c:marker val="1"/>
        <c:smooth val="0"/>
        <c:axId val="402452088"/>
        <c:axId val="402456008"/>
      </c:lineChart>
      <c:catAx>
        <c:axId val="40245208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b="1"/>
                  <a:t>Amžiaus grupė</a:t>
                </a:r>
                <a:endParaRPr lang="en-US"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56008"/>
        <c:crosses val="autoZero"/>
        <c:auto val="1"/>
        <c:lblAlgn val="ctr"/>
        <c:lblOffset val="100"/>
        <c:noMultiLvlLbl val="0"/>
      </c:catAx>
      <c:valAx>
        <c:axId val="402456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b="1"/>
                  <a:t>kpi </a:t>
                </a:r>
                <a:endParaRPr lang="en-US" b="1"/>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52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'Raj bendras'!$AF$51</c:f>
              <c:strCache>
                <c:ptCount val="1"/>
                <c:pt idx="0">
                  <c:v>Vaikų dalis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'Raj bendras'!$AE$52:$AE$54</c:f>
              <c:strCache>
                <c:ptCount val="3"/>
                <c:pt idx="0">
                  <c:v>Vaikų, turinčių žandikaulio sąkandžio patologiją</c:v>
                </c:pt>
                <c:pt idx="1">
                  <c:v>Vaikų, turinčių pavienių dantų sąkandžio patologiją</c:v>
                </c:pt>
                <c:pt idx="2">
                  <c:v>Vaikų, turinčių sąkandžio patologiją</c:v>
                </c:pt>
              </c:strCache>
            </c:strRef>
          </c:cat>
          <c:val>
            <c:numRef>
              <c:f>'Raj bendras'!$AF$52:$AF$54</c:f>
              <c:numCache>
                <c:formatCode>0.00</c:formatCode>
                <c:ptCount val="3"/>
                <c:pt idx="0">
                  <c:v>41.565778853914445</c:v>
                </c:pt>
                <c:pt idx="1">
                  <c:v>5.4075867635189665</c:v>
                </c:pt>
                <c:pt idx="2">
                  <c:v>46.973365617433416</c:v>
                </c:pt>
              </c:numCache>
            </c:numRef>
          </c:val>
        </c:ser>
        <c:dLbls>
          <c:dLblPos val="outEnd"/>
          <c:showLegendKey val="0"/>
          <c:showVal val="1"/>
          <c:showCatName val="0"/>
          <c:showSerName val="0"/>
          <c:showPercent val="0"/>
          <c:showBubbleSize val="0"/>
        </c:dLbls>
        <c:gapWidth val="182"/>
        <c:axId val="402452872"/>
        <c:axId val="402453264"/>
      </c:barChart>
      <c:catAx>
        <c:axId val="402452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53264"/>
        <c:crosses val="autoZero"/>
        <c:auto val="1"/>
        <c:lblAlgn val="ctr"/>
        <c:lblOffset val="100"/>
        <c:noMultiLvlLbl val="0"/>
      </c:catAx>
      <c:valAx>
        <c:axId val="402453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Procentai</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02452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3485</Words>
  <Characters>1987</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Aušra Jančiulytė</cp:lastModifiedBy>
  <cp:revision>2</cp:revision>
  <dcterms:created xsi:type="dcterms:W3CDTF">2016-06-07T04:30:00Z</dcterms:created>
  <dcterms:modified xsi:type="dcterms:W3CDTF">2016-06-07T04:30:00Z</dcterms:modified>
</cp:coreProperties>
</file>