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numbering.xml" ContentType="application/vnd.openxmlformats-officedocument.wordprocessingml.numbering+xml"/>
  <Override PartName="/word/endnotes.xml" ContentType="application/vnd.openxmlformats-officedocument.wordprocessingml.endnotes+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0B8" w:rsidRPr="00E40D1D" w:rsidRDefault="002750B8" w:rsidP="00E40D1D">
      <w:pPr>
        <w:spacing w:after="0"/>
        <w:jc w:val="center"/>
        <w:rPr>
          <w:sz w:val="40"/>
          <w:szCs w:val="40"/>
          <w:lang w:val="lt-LT"/>
        </w:rPr>
      </w:pPr>
      <w:r w:rsidRPr="00E40D1D">
        <w:rPr>
          <w:sz w:val="40"/>
          <w:szCs w:val="40"/>
        </w:rPr>
        <w:t>Vilniaus miesto savivaldyb</w:t>
      </w:r>
      <w:r w:rsidRPr="00E40D1D">
        <w:rPr>
          <w:sz w:val="40"/>
          <w:szCs w:val="40"/>
          <w:lang w:val="lt-LT"/>
        </w:rPr>
        <w:t>ės</w:t>
      </w:r>
    </w:p>
    <w:p w:rsidR="002750B8" w:rsidRPr="00E40D1D" w:rsidRDefault="002750B8" w:rsidP="00E40D1D">
      <w:pPr>
        <w:spacing w:after="0"/>
        <w:jc w:val="center"/>
        <w:rPr>
          <w:sz w:val="40"/>
          <w:szCs w:val="40"/>
          <w:lang w:val="lt-LT"/>
        </w:rPr>
      </w:pPr>
      <w:r w:rsidRPr="00E40D1D">
        <w:rPr>
          <w:sz w:val="40"/>
          <w:szCs w:val="40"/>
          <w:lang w:val="lt-LT"/>
        </w:rPr>
        <w:t>Visuomenės sveikatos biuras</w:t>
      </w: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0"/>
          <w:szCs w:val="40"/>
          <w:lang w:val="lt-LT"/>
        </w:rPr>
      </w:pPr>
    </w:p>
    <w:p w:rsidR="002750B8" w:rsidRPr="00E40D1D" w:rsidRDefault="002750B8" w:rsidP="00E40D1D">
      <w:pPr>
        <w:spacing w:after="0"/>
        <w:jc w:val="center"/>
        <w:rPr>
          <w:sz w:val="44"/>
          <w:szCs w:val="44"/>
          <w:lang w:val="lt-LT"/>
        </w:rPr>
      </w:pPr>
      <w:r w:rsidRPr="00E40D1D">
        <w:rPr>
          <w:sz w:val="44"/>
          <w:szCs w:val="44"/>
          <w:lang w:val="lt-LT"/>
        </w:rPr>
        <w:t xml:space="preserve">VILNIAUS </w:t>
      </w:r>
      <w:r w:rsidR="004B1F01" w:rsidRPr="00E40D1D">
        <w:rPr>
          <w:sz w:val="44"/>
          <w:szCs w:val="44"/>
          <w:lang w:val="lt-LT"/>
        </w:rPr>
        <w:t>RAJONO</w:t>
      </w:r>
    </w:p>
    <w:p w:rsidR="002750B8" w:rsidRPr="00E40D1D" w:rsidRDefault="002750B8" w:rsidP="00E40D1D">
      <w:pPr>
        <w:spacing w:after="0"/>
        <w:jc w:val="center"/>
        <w:rPr>
          <w:sz w:val="44"/>
          <w:szCs w:val="44"/>
          <w:lang w:val="lt-LT"/>
        </w:rPr>
      </w:pPr>
      <w:r w:rsidRPr="00E40D1D">
        <w:rPr>
          <w:sz w:val="44"/>
          <w:szCs w:val="44"/>
          <w:lang w:val="lt-LT"/>
        </w:rPr>
        <w:t xml:space="preserve">VISUOMENĖS SVEIKATOS STEBĖSENOS </w:t>
      </w:r>
    </w:p>
    <w:p w:rsidR="002750B8" w:rsidRPr="00E40D1D" w:rsidRDefault="002750B8" w:rsidP="00E40D1D">
      <w:pPr>
        <w:spacing w:after="0"/>
        <w:jc w:val="center"/>
        <w:rPr>
          <w:sz w:val="44"/>
          <w:szCs w:val="44"/>
        </w:rPr>
      </w:pPr>
      <w:r w:rsidRPr="00E40D1D">
        <w:rPr>
          <w:sz w:val="44"/>
          <w:szCs w:val="44"/>
        </w:rPr>
        <w:t>2011 METŲ ATASKAITA</w:t>
      </w:r>
    </w:p>
    <w:p w:rsidR="002750B8" w:rsidRPr="00E40D1D" w:rsidRDefault="002750B8" w:rsidP="00E40D1D">
      <w:pPr>
        <w:spacing w:after="0"/>
        <w:jc w:val="center"/>
        <w:rPr>
          <w:sz w:val="44"/>
          <w:szCs w:val="44"/>
        </w:rPr>
      </w:pPr>
      <w:r w:rsidRPr="00E40D1D">
        <w:rPr>
          <w:sz w:val="44"/>
          <w:szCs w:val="44"/>
        </w:rPr>
        <w:t>(u</w:t>
      </w:r>
      <w:r w:rsidRPr="00E40D1D">
        <w:rPr>
          <w:sz w:val="44"/>
          <w:szCs w:val="44"/>
          <w:lang w:val="lt-LT"/>
        </w:rPr>
        <w:t xml:space="preserve">ž </w:t>
      </w:r>
      <w:r w:rsidRPr="00E40D1D">
        <w:rPr>
          <w:sz w:val="44"/>
          <w:szCs w:val="44"/>
        </w:rPr>
        <w:t>2010 metus)</w:t>
      </w:r>
    </w:p>
    <w:p w:rsidR="002750B8" w:rsidRPr="00E40D1D" w:rsidRDefault="002750B8" w:rsidP="00E40D1D">
      <w:pPr>
        <w:spacing w:after="0"/>
        <w:jc w:val="center"/>
        <w:rPr>
          <w:sz w:val="40"/>
          <w:szCs w:val="40"/>
        </w:rPr>
      </w:pPr>
    </w:p>
    <w:p w:rsidR="002750B8" w:rsidRPr="00E40D1D" w:rsidRDefault="002750B8" w:rsidP="00E40D1D">
      <w:pPr>
        <w:spacing w:after="0"/>
        <w:jc w:val="center"/>
        <w:rPr>
          <w:sz w:val="40"/>
          <w:szCs w:val="40"/>
        </w:rPr>
      </w:pPr>
    </w:p>
    <w:p w:rsidR="002750B8" w:rsidRPr="00E40D1D" w:rsidRDefault="002750B8" w:rsidP="00E40D1D">
      <w:pPr>
        <w:spacing w:after="0"/>
        <w:jc w:val="center"/>
        <w:rPr>
          <w:sz w:val="40"/>
          <w:szCs w:val="40"/>
        </w:rPr>
      </w:pPr>
    </w:p>
    <w:p w:rsidR="002750B8" w:rsidRPr="00E40D1D" w:rsidRDefault="002750B8" w:rsidP="00E40D1D">
      <w:pPr>
        <w:spacing w:after="0"/>
        <w:jc w:val="center"/>
        <w:rPr>
          <w:sz w:val="40"/>
          <w:szCs w:val="40"/>
        </w:rPr>
      </w:pPr>
    </w:p>
    <w:p w:rsidR="002750B8" w:rsidRPr="00E40D1D" w:rsidRDefault="002750B8" w:rsidP="00E40D1D">
      <w:pPr>
        <w:spacing w:after="0"/>
        <w:jc w:val="center"/>
        <w:rPr>
          <w:sz w:val="40"/>
          <w:szCs w:val="40"/>
        </w:rPr>
      </w:pPr>
    </w:p>
    <w:p w:rsidR="002750B8" w:rsidRPr="00E40D1D" w:rsidRDefault="002750B8" w:rsidP="00E40D1D">
      <w:pPr>
        <w:spacing w:after="0"/>
        <w:jc w:val="center"/>
        <w:rPr>
          <w:sz w:val="40"/>
          <w:szCs w:val="40"/>
        </w:rPr>
      </w:pPr>
    </w:p>
    <w:p w:rsidR="002750B8" w:rsidRPr="00E40D1D" w:rsidRDefault="002750B8" w:rsidP="00E40D1D">
      <w:pPr>
        <w:spacing w:after="0"/>
        <w:jc w:val="center"/>
        <w:rPr>
          <w:sz w:val="40"/>
          <w:szCs w:val="40"/>
        </w:rPr>
      </w:pPr>
      <w:r w:rsidRPr="00E40D1D">
        <w:rPr>
          <w:sz w:val="40"/>
          <w:szCs w:val="40"/>
          <w:lang w:val="lt-LT" w:eastAsia="lt-LT"/>
        </w:rPr>
        <w:drawing>
          <wp:inline distT="0" distB="0" distL="0" distR="0">
            <wp:extent cx="1314450" cy="1276350"/>
            <wp:effectExtent l="19050" t="0" r="0" b="0"/>
            <wp:docPr id="84" name="Picture 18" descr="D:\VVSBiuras\Firminis stilius\Logo vvsb\Final\VVSBLOG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VVSBiuras\Firminis stilius\Logo vvsb\Final\VVSBLOGBE.jpg"/>
                    <pic:cNvPicPr>
                      <a:picLocks noChangeAspect="1" noChangeArrowheads="1"/>
                    </pic:cNvPicPr>
                  </pic:nvPicPr>
                  <pic:blipFill>
                    <a:blip r:embed="rId8" cstate="print"/>
                    <a:srcRect/>
                    <a:stretch>
                      <a:fillRect/>
                    </a:stretch>
                  </pic:blipFill>
                  <pic:spPr bwMode="auto">
                    <a:xfrm>
                      <a:off x="0" y="0"/>
                      <a:ext cx="1314450" cy="1276350"/>
                    </a:xfrm>
                    <a:prstGeom prst="rect">
                      <a:avLst/>
                    </a:prstGeom>
                    <a:noFill/>
                    <a:ln w="9525">
                      <a:noFill/>
                      <a:miter lim="800000"/>
                      <a:headEnd/>
                      <a:tailEnd/>
                    </a:ln>
                  </pic:spPr>
                </pic:pic>
              </a:graphicData>
            </a:graphic>
          </wp:inline>
        </w:drawing>
      </w:r>
    </w:p>
    <w:p w:rsidR="002750B8" w:rsidRPr="00E40D1D" w:rsidRDefault="002750B8" w:rsidP="00E40D1D">
      <w:pPr>
        <w:spacing w:after="0"/>
        <w:jc w:val="center"/>
        <w:rPr>
          <w:sz w:val="40"/>
          <w:szCs w:val="40"/>
        </w:rPr>
      </w:pPr>
    </w:p>
    <w:p w:rsidR="002750B8" w:rsidRPr="00E40D1D" w:rsidRDefault="002750B8" w:rsidP="00E40D1D">
      <w:pPr>
        <w:spacing w:after="0"/>
        <w:jc w:val="center"/>
        <w:rPr>
          <w:sz w:val="40"/>
          <w:szCs w:val="40"/>
        </w:rPr>
      </w:pPr>
    </w:p>
    <w:p w:rsidR="002750B8" w:rsidRPr="00E40D1D" w:rsidRDefault="002750B8" w:rsidP="00E40D1D">
      <w:pPr>
        <w:rPr>
          <w:sz w:val="40"/>
          <w:szCs w:val="40"/>
        </w:rPr>
      </w:pPr>
    </w:p>
    <w:p w:rsidR="00A241E3" w:rsidRDefault="00A241E3" w:rsidP="00E40D1D">
      <w:pPr>
        <w:spacing w:after="0"/>
        <w:jc w:val="center"/>
        <w:rPr>
          <w:b/>
          <w:sz w:val="32"/>
          <w:szCs w:val="32"/>
        </w:rPr>
      </w:pPr>
    </w:p>
    <w:p w:rsidR="002750B8" w:rsidRPr="00E40D1D" w:rsidRDefault="002750B8" w:rsidP="00E40D1D">
      <w:pPr>
        <w:spacing w:after="0"/>
        <w:jc w:val="center"/>
        <w:rPr>
          <w:b/>
          <w:sz w:val="32"/>
          <w:szCs w:val="32"/>
        </w:rPr>
      </w:pPr>
      <w:r w:rsidRPr="00E40D1D">
        <w:rPr>
          <w:b/>
          <w:sz w:val="32"/>
          <w:szCs w:val="32"/>
        </w:rPr>
        <w:lastRenderedPageBreak/>
        <w:t>TURINYS</w:t>
      </w:r>
    </w:p>
    <w:p w:rsidR="002750B8" w:rsidRPr="00E40D1D" w:rsidRDefault="002750B8" w:rsidP="00E40D1D">
      <w:pPr>
        <w:spacing w:after="0"/>
        <w:jc w:val="center"/>
        <w:rPr>
          <w:b/>
          <w:sz w:val="32"/>
          <w:szCs w:val="32"/>
        </w:rPr>
      </w:pPr>
    </w:p>
    <w:p w:rsidR="000E6850" w:rsidRPr="00E40D1D" w:rsidRDefault="000E6850" w:rsidP="000E6850">
      <w:pPr>
        <w:spacing w:after="0"/>
        <w:rPr>
          <w:szCs w:val="24"/>
        </w:rPr>
      </w:pPr>
      <w:r w:rsidRPr="00E40D1D">
        <w:rPr>
          <w:szCs w:val="24"/>
        </w:rPr>
        <w:t>Demografin</w:t>
      </w:r>
      <w:r w:rsidRPr="00E40D1D">
        <w:rPr>
          <w:szCs w:val="24"/>
          <w:lang w:val="lt-LT"/>
        </w:rPr>
        <w:t xml:space="preserve">ė situacija.............................................................................................................. </w:t>
      </w:r>
      <w:r w:rsidRPr="00E40D1D">
        <w:rPr>
          <w:szCs w:val="24"/>
        </w:rPr>
        <w:t>3 psl.</w:t>
      </w:r>
    </w:p>
    <w:p w:rsidR="000E6850" w:rsidRDefault="000E6850" w:rsidP="000E6850">
      <w:pPr>
        <w:spacing w:after="0"/>
        <w:rPr>
          <w:szCs w:val="24"/>
          <w:lang w:val="lt-LT"/>
        </w:rPr>
      </w:pPr>
    </w:p>
    <w:p w:rsidR="000E6850" w:rsidRPr="00E40D1D" w:rsidRDefault="000E6850" w:rsidP="000E6850">
      <w:pPr>
        <w:spacing w:after="0"/>
        <w:rPr>
          <w:szCs w:val="24"/>
          <w:lang w:val="lt-LT"/>
        </w:rPr>
      </w:pPr>
      <w:r w:rsidRPr="00E40D1D">
        <w:rPr>
          <w:szCs w:val="24"/>
          <w:lang w:val="lt-LT"/>
        </w:rPr>
        <w:t>Mirtingumas...................</w:t>
      </w:r>
      <w:bookmarkStart w:id="0" w:name="_GoBack"/>
      <w:bookmarkEnd w:id="0"/>
      <w:r w:rsidRPr="00E40D1D">
        <w:rPr>
          <w:szCs w:val="24"/>
          <w:lang w:val="lt-LT"/>
        </w:rPr>
        <w:t>.......................................................................................................... 8 psl.</w:t>
      </w:r>
    </w:p>
    <w:p w:rsidR="000E6850" w:rsidRDefault="000E6850" w:rsidP="000E6850">
      <w:pPr>
        <w:spacing w:after="0"/>
        <w:rPr>
          <w:szCs w:val="24"/>
          <w:lang w:val="lt-LT"/>
        </w:rPr>
      </w:pPr>
    </w:p>
    <w:p w:rsidR="000E6850" w:rsidRPr="00E40D1D" w:rsidRDefault="000E6850" w:rsidP="000E6850">
      <w:pPr>
        <w:spacing w:after="0"/>
        <w:rPr>
          <w:sz w:val="20"/>
          <w:szCs w:val="20"/>
          <w:lang w:val="lt-LT"/>
        </w:rPr>
      </w:pPr>
      <w:r w:rsidRPr="00E40D1D">
        <w:rPr>
          <w:szCs w:val="24"/>
          <w:lang w:val="lt-LT"/>
        </w:rPr>
        <w:t>Sveikatos būklė.........................................................................................</w:t>
      </w:r>
      <w:r w:rsidR="00851116">
        <w:rPr>
          <w:szCs w:val="24"/>
          <w:lang w:val="lt-LT"/>
        </w:rPr>
        <w:t>............................. 11</w:t>
      </w:r>
      <w:r w:rsidRPr="00E40D1D">
        <w:rPr>
          <w:szCs w:val="24"/>
          <w:lang w:val="lt-LT"/>
        </w:rPr>
        <w:t xml:space="preserve"> psl.</w:t>
      </w:r>
    </w:p>
    <w:p w:rsidR="000E6850" w:rsidRDefault="000E6850" w:rsidP="000E6850">
      <w:pPr>
        <w:spacing w:after="0"/>
        <w:rPr>
          <w:szCs w:val="24"/>
          <w:lang w:val="lt-LT"/>
        </w:rPr>
      </w:pPr>
    </w:p>
    <w:p w:rsidR="000E6850" w:rsidRPr="00E40D1D" w:rsidRDefault="000E6850" w:rsidP="000E6850">
      <w:pPr>
        <w:spacing w:after="0"/>
        <w:rPr>
          <w:szCs w:val="24"/>
        </w:rPr>
      </w:pPr>
      <w:r w:rsidRPr="00E40D1D">
        <w:rPr>
          <w:szCs w:val="24"/>
          <w:lang w:val="lt-LT"/>
        </w:rPr>
        <w:t xml:space="preserve">Vaikų sveikatos būklė............................................................................................................ </w:t>
      </w:r>
      <w:r w:rsidR="00851116">
        <w:rPr>
          <w:szCs w:val="24"/>
        </w:rPr>
        <w:t>37</w:t>
      </w:r>
      <w:r w:rsidRPr="00E40D1D">
        <w:rPr>
          <w:szCs w:val="24"/>
        </w:rPr>
        <w:t xml:space="preserve"> psl.</w:t>
      </w:r>
    </w:p>
    <w:p w:rsidR="000E6850" w:rsidRDefault="000E6850" w:rsidP="000E6850">
      <w:pPr>
        <w:spacing w:after="0"/>
        <w:rPr>
          <w:szCs w:val="24"/>
          <w:lang w:val="lt-LT"/>
        </w:rPr>
      </w:pPr>
    </w:p>
    <w:p w:rsidR="000E6850" w:rsidRPr="00E40D1D" w:rsidRDefault="000E6850" w:rsidP="000E6850">
      <w:pPr>
        <w:spacing w:after="0"/>
        <w:rPr>
          <w:szCs w:val="24"/>
          <w:lang w:val="lt-LT"/>
        </w:rPr>
      </w:pPr>
      <w:r w:rsidRPr="00E40D1D">
        <w:rPr>
          <w:szCs w:val="24"/>
          <w:lang w:val="lt-LT"/>
        </w:rPr>
        <w:t xml:space="preserve">Fizinės aplinkos veiksniai...................................................................................................... </w:t>
      </w:r>
      <w:r w:rsidR="00851116">
        <w:rPr>
          <w:szCs w:val="24"/>
          <w:lang w:val="lt-LT"/>
        </w:rPr>
        <w:t>39</w:t>
      </w:r>
      <w:r w:rsidRPr="00E40D1D">
        <w:rPr>
          <w:szCs w:val="24"/>
          <w:lang w:val="lt-LT"/>
        </w:rPr>
        <w:t xml:space="preserve"> psl.</w:t>
      </w:r>
    </w:p>
    <w:p w:rsidR="000E6850" w:rsidRDefault="000E6850" w:rsidP="000E6850">
      <w:pPr>
        <w:spacing w:after="0"/>
        <w:rPr>
          <w:szCs w:val="24"/>
          <w:lang w:val="lt-LT"/>
        </w:rPr>
      </w:pPr>
    </w:p>
    <w:p w:rsidR="000E6850" w:rsidRDefault="000E6850" w:rsidP="000E6850">
      <w:pPr>
        <w:spacing w:after="0"/>
        <w:rPr>
          <w:szCs w:val="24"/>
          <w:lang w:val="lt-LT"/>
        </w:rPr>
      </w:pPr>
      <w:r w:rsidRPr="00E40D1D">
        <w:rPr>
          <w:szCs w:val="24"/>
          <w:lang w:val="lt-LT"/>
        </w:rPr>
        <w:t xml:space="preserve">Sveikatos priežiūros sistemos raida....................................................................................... </w:t>
      </w:r>
      <w:r>
        <w:rPr>
          <w:szCs w:val="24"/>
          <w:lang w:val="lt-LT"/>
        </w:rPr>
        <w:t>44</w:t>
      </w:r>
      <w:r w:rsidRPr="00E40D1D">
        <w:rPr>
          <w:szCs w:val="24"/>
          <w:lang w:val="lt-LT"/>
        </w:rPr>
        <w:t xml:space="preserve"> psl.</w:t>
      </w:r>
    </w:p>
    <w:p w:rsidR="000E6850" w:rsidRDefault="000E6850" w:rsidP="000E6850">
      <w:pPr>
        <w:pStyle w:val="NoSpacing"/>
        <w:rPr>
          <w:rFonts w:cs="Times New Roman"/>
          <w:szCs w:val="24"/>
          <w:lang w:val="lt-LT"/>
        </w:rPr>
      </w:pPr>
    </w:p>
    <w:p w:rsidR="000E6850" w:rsidRPr="00A445B9" w:rsidRDefault="000E6850" w:rsidP="000E6850">
      <w:pPr>
        <w:pStyle w:val="NoSpacing"/>
        <w:rPr>
          <w:rFonts w:cs="Times New Roman"/>
          <w:szCs w:val="24"/>
          <w:lang w:val="lt-LT"/>
        </w:rPr>
      </w:pPr>
      <w:r w:rsidRPr="00A445B9">
        <w:rPr>
          <w:rFonts w:cs="Times New Roman"/>
          <w:szCs w:val="24"/>
          <w:lang w:val="lt-LT"/>
        </w:rPr>
        <w:t>Visuomenės sveikatos stebėsenos rodiklių apibendrinimas ir rekomendacijos</w:t>
      </w:r>
      <w:r>
        <w:rPr>
          <w:rFonts w:cs="Times New Roman"/>
          <w:szCs w:val="24"/>
          <w:lang w:val="lt-LT"/>
        </w:rPr>
        <w:t>......................56 psl.</w:t>
      </w: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2750B8" w:rsidRPr="00E40D1D" w:rsidRDefault="002750B8" w:rsidP="00E40D1D">
      <w:pPr>
        <w:rPr>
          <w:sz w:val="32"/>
          <w:szCs w:val="32"/>
        </w:rPr>
      </w:pPr>
    </w:p>
    <w:p w:rsidR="002750B8" w:rsidRPr="00E40D1D" w:rsidRDefault="002750B8" w:rsidP="00E40D1D">
      <w:pPr>
        <w:rPr>
          <w:sz w:val="32"/>
          <w:szCs w:val="32"/>
        </w:rPr>
      </w:pPr>
    </w:p>
    <w:p w:rsidR="002750B8" w:rsidRPr="00E40D1D" w:rsidRDefault="002750B8" w:rsidP="00E40D1D">
      <w:pPr>
        <w:rPr>
          <w:sz w:val="32"/>
          <w:szCs w:val="32"/>
        </w:rPr>
      </w:pPr>
    </w:p>
    <w:p w:rsidR="002750B8" w:rsidRPr="00E40D1D" w:rsidRDefault="002750B8" w:rsidP="00E40D1D">
      <w:pPr>
        <w:rPr>
          <w:sz w:val="32"/>
          <w:szCs w:val="32"/>
        </w:rPr>
      </w:pPr>
    </w:p>
    <w:p w:rsidR="002750B8" w:rsidRPr="00E40D1D" w:rsidRDefault="002750B8" w:rsidP="00E40D1D">
      <w:pPr>
        <w:rPr>
          <w:sz w:val="32"/>
          <w:szCs w:val="32"/>
        </w:rPr>
      </w:pPr>
    </w:p>
    <w:p w:rsidR="002750B8" w:rsidRPr="00E40D1D" w:rsidRDefault="002750B8" w:rsidP="00E40D1D">
      <w:pPr>
        <w:rPr>
          <w:sz w:val="32"/>
          <w:szCs w:val="32"/>
        </w:rPr>
      </w:pPr>
    </w:p>
    <w:p w:rsidR="0072642C" w:rsidRDefault="0072642C" w:rsidP="00E40D1D">
      <w:pPr>
        <w:rPr>
          <w:sz w:val="32"/>
          <w:szCs w:val="32"/>
        </w:rPr>
      </w:pPr>
    </w:p>
    <w:p w:rsidR="005F674A" w:rsidRDefault="005F674A" w:rsidP="00E40D1D">
      <w:pPr>
        <w:rPr>
          <w:sz w:val="32"/>
          <w:szCs w:val="32"/>
        </w:rPr>
      </w:pPr>
    </w:p>
    <w:p w:rsidR="005F674A" w:rsidRDefault="005F674A" w:rsidP="00E40D1D">
      <w:pPr>
        <w:rPr>
          <w:sz w:val="32"/>
          <w:szCs w:val="32"/>
        </w:rPr>
      </w:pPr>
    </w:p>
    <w:p w:rsidR="005F674A" w:rsidRPr="00E40D1D" w:rsidRDefault="005F674A" w:rsidP="00E40D1D">
      <w:pPr>
        <w:rPr>
          <w:sz w:val="32"/>
          <w:szCs w:val="32"/>
        </w:rPr>
      </w:pPr>
    </w:p>
    <w:p w:rsidR="005B7D02" w:rsidRDefault="005B7D02" w:rsidP="00E40D1D">
      <w:pPr>
        <w:jc w:val="center"/>
        <w:rPr>
          <w:sz w:val="56"/>
          <w:szCs w:val="32"/>
        </w:rPr>
      </w:pPr>
    </w:p>
    <w:p w:rsidR="00C147B4" w:rsidRPr="00E40D1D" w:rsidRDefault="00C147B4" w:rsidP="00E40D1D">
      <w:pPr>
        <w:jc w:val="center"/>
        <w:rPr>
          <w:sz w:val="56"/>
          <w:szCs w:val="32"/>
        </w:rPr>
      </w:pPr>
      <w:r w:rsidRPr="00E40D1D">
        <w:rPr>
          <w:sz w:val="56"/>
          <w:szCs w:val="32"/>
        </w:rPr>
        <w:t>DEMOGRAFINĖ SITUACIJA</w:t>
      </w: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72642C" w:rsidRPr="00E40D1D" w:rsidRDefault="0072642C" w:rsidP="00E40D1D">
      <w:pPr>
        <w:rPr>
          <w:sz w:val="32"/>
          <w:szCs w:val="32"/>
        </w:rPr>
      </w:pPr>
    </w:p>
    <w:p w:rsidR="003F5425" w:rsidRPr="00E40D1D" w:rsidRDefault="003F5425" w:rsidP="00E40D1D">
      <w:pPr>
        <w:rPr>
          <w:sz w:val="32"/>
          <w:szCs w:val="32"/>
        </w:rPr>
      </w:pPr>
    </w:p>
    <w:p w:rsidR="003F5425" w:rsidRPr="00E40D1D" w:rsidRDefault="003F5425" w:rsidP="00E40D1D">
      <w:pPr>
        <w:rPr>
          <w:sz w:val="32"/>
          <w:szCs w:val="32"/>
        </w:rPr>
      </w:pPr>
    </w:p>
    <w:p w:rsidR="003F5425" w:rsidRPr="00E40D1D" w:rsidRDefault="003F5425" w:rsidP="00E40D1D">
      <w:pPr>
        <w:rPr>
          <w:sz w:val="32"/>
          <w:szCs w:val="32"/>
        </w:rPr>
      </w:pPr>
    </w:p>
    <w:p w:rsidR="003F5425" w:rsidRPr="00E40D1D" w:rsidRDefault="003F5425" w:rsidP="00E40D1D">
      <w:pPr>
        <w:rPr>
          <w:sz w:val="32"/>
          <w:szCs w:val="32"/>
        </w:rPr>
      </w:pPr>
    </w:p>
    <w:p w:rsidR="003F5425" w:rsidRPr="00E40D1D" w:rsidRDefault="003F5425" w:rsidP="00E40D1D">
      <w:pPr>
        <w:rPr>
          <w:sz w:val="32"/>
          <w:szCs w:val="32"/>
        </w:rPr>
      </w:pPr>
    </w:p>
    <w:p w:rsidR="00D5635B" w:rsidRPr="00E40D1D" w:rsidRDefault="00D5635B" w:rsidP="00E40D1D">
      <w:pPr>
        <w:rPr>
          <w:sz w:val="32"/>
          <w:szCs w:val="32"/>
        </w:rPr>
      </w:pPr>
    </w:p>
    <w:p w:rsidR="002750B8" w:rsidRDefault="002750B8" w:rsidP="00E40D1D">
      <w:pPr>
        <w:rPr>
          <w:sz w:val="32"/>
          <w:szCs w:val="32"/>
        </w:rPr>
      </w:pPr>
    </w:p>
    <w:p w:rsidR="00E40D1D" w:rsidRDefault="00E40D1D" w:rsidP="00E40D1D">
      <w:pPr>
        <w:rPr>
          <w:sz w:val="32"/>
          <w:szCs w:val="32"/>
        </w:rPr>
      </w:pPr>
    </w:p>
    <w:p w:rsidR="009B4765" w:rsidRDefault="009B4765" w:rsidP="00E40D1D">
      <w:pPr>
        <w:jc w:val="center"/>
        <w:rPr>
          <w:b/>
          <w:bCs/>
          <w:sz w:val="28"/>
          <w:szCs w:val="28"/>
        </w:rPr>
      </w:pPr>
    </w:p>
    <w:p w:rsidR="00C724E1" w:rsidRDefault="00C724E1" w:rsidP="00C724E1">
      <w:pPr>
        <w:contextualSpacing/>
      </w:pPr>
      <w:r>
        <w:lastRenderedPageBreak/>
        <w:t>DEMOGRAFINIAI RODIKLIAI</w:t>
      </w:r>
    </w:p>
    <w:p w:rsidR="00C724E1" w:rsidRDefault="00C724E1" w:rsidP="00C724E1">
      <w:pPr>
        <w:contextualSpacing/>
      </w:pPr>
      <w:r>
        <w:t xml:space="preserve"> </w:t>
      </w:r>
    </w:p>
    <w:p w:rsidR="00C724E1" w:rsidRDefault="00C724E1" w:rsidP="00C724E1">
      <w:pPr>
        <w:ind w:firstLine="720"/>
        <w:contextualSpacing/>
        <w:jc w:val="both"/>
        <w:rPr>
          <w:lang w:val="lt-LT"/>
        </w:rPr>
      </w:pPr>
      <w:r w:rsidRPr="0072642C">
        <w:t xml:space="preserve">Lietuvos statistikos departamento duomenimis Vilniaus </w:t>
      </w:r>
      <w:r>
        <w:t>r.</w:t>
      </w:r>
      <w:r w:rsidRPr="0072642C">
        <w:t xml:space="preserve"> 2010 m. gyveno </w:t>
      </w:r>
      <w:r w:rsidRPr="005D33C0">
        <w:rPr>
          <w:color w:val="000000"/>
        </w:rPr>
        <w:t>96209</w:t>
      </w:r>
      <w:r w:rsidRPr="0072642C">
        <w:t xml:space="preserve"> </w:t>
      </w:r>
      <w:r w:rsidRPr="0072642C">
        <w:rPr>
          <w:lang w:val="lt-LT"/>
        </w:rPr>
        <w:t xml:space="preserve">žmonės. </w:t>
      </w:r>
      <w:r>
        <w:rPr>
          <w:lang w:val="lt-LT"/>
        </w:rPr>
        <w:t xml:space="preserve">Nepaisant pastaraisiais metais mažėjančio gyventojų skaičiaus Lietuvoje, Vilniaus r. gyventojų skaičius augo  nuo 2001 m., tik </w:t>
      </w:r>
      <w:r w:rsidRPr="00D10BC8">
        <w:rPr>
          <w:lang w:val="lt-LT"/>
        </w:rPr>
        <w:t>20</w:t>
      </w:r>
      <w:r w:rsidR="000724DE">
        <w:rPr>
          <w:lang w:val="lt-LT"/>
        </w:rPr>
        <w:t>10</w:t>
      </w:r>
      <w:r w:rsidRPr="00D10BC8">
        <w:rPr>
          <w:lang w:val="lt-LT"/>
        </w:rPr>
        <w:t xml:space="preserve"> m. </w:t>
      </w:r>
      <w:r>
        <w:rPr>
          <w:lang w:val="lt-LT"/>
        </w:rPr>
        <w:t>jis šiek tiek sumažėjo. (1 pav.)</w:t>
      </w:r>
    </w:p>
    <w:p w:rsidR="00C724E1" w:rsidRDefault="00C724E1" w:rsidP="00C724E1">
      <w:pPr>
        <w:contextualSpacing/>
      </w:pPr>
    </w:p>
    <w:p w:rsidR="00C724E1" w:rsidRDefault="00C724E1" w:rsidP="00C724E1">
      <w:pPr>
        <w:contextualSpacing/>
      </w:pPr>
      <w:r>
        <w:rPr>
          <w:lang w:val="lt-LT" w:eastAsia="lt-LT"/>
        </w:rPr>
        <w:drawing>
          <wp:inline distT="0" distB="0" distL="0" distR="0">
            <wp:extent cx="6081823" cy="2550854"/>
            <wp:effectExtent l="19050" t="0" r="14177" b="1846"/>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724E1" w:rsidRPr="00C724E1" w:rsidRDefault="00C724E1" w:rsidP="00C724E1">
      <w:pPr>
        <w:contextualSpacing/>
        <w:rPr>
          <w:b/>
          <w:sz w:val="20"/>
          <w:szCs w:val="20"/>
        </w:rPr>
      </w:pPr>
      <w:r>
        <w:br/>
      </w:r>
      <w:r w:rsidRPr="00C724E1">
        <w:rPr>
          <w:b/>
          <w:sz w:val="20"/>
          <w:szCs w:val="20"/>
        </w:rPr>
        <w:t>1 pav.Gyventojų skaičiaus kaita 2001-2010 m. Vilniaus r.</w:t>
      </w:r>
    </w:p>
    <w:p w:rsidR="00C724E1" w:rsidRDefault="00C724E1" w:rsidP="00C724E1">
      <w:pPr>
        <w:contextualSpacing/>
        <w:rPr>
          <w:lang w:val="lt-LT"/>
        </w:rPr>
      </w:pPr>
    </w:p>
    <w:p w:rsidR="00C724E1" w:rsidRDefault="00C724E1" w:rsidP="00EA0BC5">
      <w:pPr>
        <w:ind w:firstLine="720"/>
        <w:contextualSpacing/>
        <w:jc w:val="both"/>
        <w:rPr>
          <w:lang w:val="lt-LT"/>
        </w:rPr>
      </w:pPr>
      <w:r>
        <w:rPr>
          <w:lang w:val="lt-LT"/>
        </w:rPr>
        <w:t xml:space="preserve">Vaikai nuo 0 iki </w:t>
      </w:r>
      <w:r>
        <w:t>17 m.</w:t>
      </w:r>
      <w:r>
        <w:rPr>
          <w:lang w:val="lt-LT"/>
        </w:rPr>
        <w:t xml:space="preserve"> sudarė </w:t>
      </w:r>
      <w:r>
        <w:t>20 % vis</w:t>
      </w:r>
      <w:r>
        <w:rPr>
          <w:lang w:val="lt-LT"/>
        </w:rPr>
        <w:t>ų gyventojų</w:t>
      </w:r>
      <w:r>
        <w:t xml:space="preserve">, </w:t>
      </w:r>
      <w:r>
        <w:rPr>
          <w:lang w:val="lt-LT"/>
        </w:rPr>
        <w:t xml:space="preserve">vaisingo amžiaus moterys (15 - 49 m.) sudarė 26 % visų </w:t>
      </w:r>
      <w:r w:rsidR="000724DE">
        <w:rPr>
          <w:lang w:val="lt-LT"/>
        </w:rPr>
        <w:t>moter</w:t>
      </w:r>
      <w:r>
        <w:rPr>
          <w:lang w:val="lt-LT"/>
        </w:rPr>
        <w:t>ų Vilniaus rajone.</w:t>
      </w:r>
      <w:r>
        <w:t>Vyr</w:t>
      </w:r>
      <w:r>
        <w:rPr>
          <w:lang w:val="lt-LT"/>
        </w:rPr>
        <w:t xml:space="preserve">ų iš viso buvo </w:t>
      </w:r>
      <w:r w:rsidRPr="00F76B8A">
        <w:t>46143</w:t>
      </w:r>
      <w:r>
        <w:rPr>
          <w:lang w:val="lt-LT"/>
        </w:rPr>
        <w:t xml:space="preserve"> (48%), moterų </w:t>
      </w:r>
      <w:r w:rsidRPr="00F76B8A">
        <w:t>50066</w:t>
      </w:r>
      <w:r>
        <w:rPr>
          <w:lang w:val="lt-LT"/>
        </w:rPr>
        <w:t xml:space="preserve"> (52%).</w:t>
      </w:r>
    </w:p>
    <w:p w:rsidR="00C724E1" w:rsidRDefault="00C724E1" w:rsidP="00EA0BC5">
      <w:pPr>
        <w:ind w:firstLine="720"/>
        <w:contextualSpacing/>
        <w:jc w:val="both"/>
        <w:rPr>
          <w:lang w:val="lt-LT"/>
        </w:rPr>
      </w:pPr>
      <w:r>
        <w:rPr>
          <w:lang w:val="lt-LT"/>
        </w:rPr>
        <w:t>Pastarąjį dešimtmetį g</w:t>
      </w:r>
      <w:r w:rsidRPr="0072642C">
        <w:rPr>
          <w:lang w:val="lt-LT"/>
        </w:rPr>
        <w:t xml:space="preserve">imstamumo rodikliai Vilniaus </w:t>
      </w:r>
      <w:r>
        <w:rPr>
          <w:lang w:val="lt-LT"/>
        </w:rPr>
        <w:t>r.</w:t>
      </w:r>
      <w:r w:rsidRPr="0072642C">
        <w:rPr>
          <w:lang w:val="lt-LT"/>
        </w:rPr>
        <w:t xml:space="preserve"> </w:t>
      </w:r>
      <w:r>
        <w:rPr>
          <w:lang w:val="lt-LT"/>
        </w:rPr>
        <w:t>didėja</w:t>
      </w:r>
      <w:r w:rsidRPr="0072642C">
        <w:rPr>
          <w:lang w:val="lt-LT"/>
        </w:rPr>
        <w:t>, mirtingumas nuo 200</w:t>
      </w:r>
      <w:r>
        <w:rPr>
          <w:lang w:val="lt-LT"/>
        </w:rPr>
        <w:t>8</w:t>
      </w:r>
      <w:r w:rsidRPr="0072642C">
        <w:rPr>
          <w:lang w:val="lt-LT"/>
        </w:rPr>
        <w:t xml:space="preserve"> m. </w:t>
      </w:r>
      <w:r>
        <w:rPr>
          <w:lang w:val="lt-LT"/>
        </w:rPr>
        <w:t>mažėja.</w:t>
      </w:r>
    </w:p>
    <w:p w:rsidR="00C724E1" w:rsidRPr="00F92788" w:rsidRDefault="00C724E1" w:rsidP="00EA0BC5">
      <w:pPr>
        <w:ind w:firstLine="720"/>
        <w:contextualSpacing/>
        <w:jc w:val="both"/>
      </w:pPr>
      <w:r>
        <w:rPr>
          <w:lang w:val="lt-LT"/>
        </w:rPr>
        <w:t>Lietuvoje mirtingumas buvo (12,8/1000 gyv.), Vilniaus r. (12,2/1000 gyv.) (</w:t>
      </w:r>
      <w:r>
        <w:t>2</w:t>
      </w:r>
      <w:r w:rsidR="000724DE">
        <w:t xml:space="preserve"> </w:t>
      </w:r>
      <w:r>
        <w:t xml:space="preserve">pav.). </w:t>
      </w:r>
      <w:r>
        <w:br/>
      </w:r>
      <w:r>
        <w:rPr>
          <w:lang w:val="lt-LT"/>
        </w:rPr>
        <w:t xml:space="preserve">Vilniaus r. vyrų mirtingumas buvo </w:t>
      </w:r>
      <w:r w:rsidRPr="006014E7">
        <w:rPr>
          <w:lang w:val="lt-LT"/>
        </w:rPr>
        <w:t>didesnis (</w:t>
      </w:r>
      <w:r w:rsidRPr="006014E7">
        <w:rPr>
          <w:rFonts w:eastAsiaTheme="minorHAnsi"/>
        </w:rPr>
        <w:t>1328.5/100000 gyv.</w:t>
      </w:r>
      <w:r w:rsidRPr="006014E7">
        <w:rPr>
          <w:lang w:val="lt-LT"/>
        </w:rPr>
        <w:t>), nei moterų (</w:t>
      </w:r>
      <w:r w:rsidRPr="006014E7">
        <w:rPr>
          <w:rFonts w:eastAsiaTheme="minorHAnsi"/>
        </w:rPr>
        <w:t>1120.5</w:t>
      </w:r>
      <w:r w:rsidRPr="006014E7">
        <w:rPr>
          <w:lang w:val="lt-LT"/>
        </w:rPr>
        <w:t>/100000</w:t>
      </w:r>
      <w:r>
        <w:rPr>
          <w:lang w:val="lt-LT"/>
        </w:rPr>
        <w:t xml:space="preserve"> gyv.</w:t>
      </w:r>
      <w:r w:rsidRPr="00F92788">
        <w:rPr>
          <w:lang w:val="lt-LT"/>
        </w:rPr>
        <w:t>)</w:t>
      </w:r>
      <w:r>
        <w:rPr>
          <w:lang w:val="lt-LT"/>
        </w:rPr>
        <w:t xml:space="preserve"> </w:t>
      </w:r>
      <w:r>
        <w:t>.</w:t>
      </w:r>
    </w:p>
    <w:p w:rsidR="00C724E1" w:rsidRDefault="00C724E1" w:rsidP="00C724E1">
      <w:pPr>
        <w:contextualSpacing/>
      </w:pPr>
      <w:r>
        <w:rPr>
          <w:lang w:val="lt-LT" w:eastAsia="lt-LT"/>
        </w:rPr>
        <w:drawing>
          <wp:inline distT="0" distB="0" distL="0" distR="0">
            <wp:extent cx="6099751" cy="2630362"/>
            <wp:effectExtent l="19050" t="0" r="15299"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724E1" w:rsidRPr="00C724E1" w:rsidRDefault="00C724E1" w:rsidP="00C724E1">
      <w:pPr>
        <w:contextualSpacing/>
        <w:rPr>
          <w:b/>
          <w:sz w:val="20"/>
          <w:szCs w:val="20"/>
          <w:lang w:val="lt-LT"/>
        </w:rPr>
      </w:pPr>
      <w:r>
        <w:br/>
      </w:r>
      <w:r w:rsidRPr="00C724E1">
        <w:rPr>
          <w:b/>
          <w:sz w:val="20"/>
          <w:szCs w:val="20"/>
        </w:rPr>
        <w:t>2 pav.</w:t>
      </w:r>
      <w:r w:rsidR="000724DE">
        <w:rPr>
          <w:b/>
          <w:sz w:val="20"/>
          <w:szCs w:val="20"/>
        </w:rPr>
        <w:t xml:space="preserve"> </w:t>
      </w:r>
      <w:r w:rsidRPr="00C724E1">
        <w:rPr>
          <w:b/>
          <w:sz w:val="20"/>
          <w:szCs w:val="20"/>
        </w:rPr>
        <w:t>Gimstamumo ir mirtingumo 1000 gyv. poky</w:t>
      </w:r>
      <w:r w:rsidRPr="00C724E1">
        <w:rPr>
          <w:b/>
          <w:sz w:val="20"/>
          <w:szCs w:val="20"/>
          <w:lang w:val="lt-LT"/>
        </w:rPr>
        <w:t>čiai 2001-2010 m. Vilniaus r. ir  Lietuvoje</w:t>
      </w:r>
    </w:p>
    <w:p w:rsidR="00C724E1" w:rsidRDefault="00C724E1" w:rsidP="00C724E1">
      <w:pPr>
        <w:jc w:val="both"/>
        <w:rPr>
          <w:lang w:val="lt-LT"/>
        </w:rPr>
      </w:pPr>
    </w:p>
    <w:p w:rsidR="00C724E1" w:rsidRPr="009B0E7E" w:rsidRDefault="00C724E1" w:rsidP="00ED5237">
      <w:pPr>
        <w:ind w:firstLine="720"/>
        <w:jc w:val="both"/>
        <w:rPr>
          <w:lang w:val="lt-LT"/>
        </w:rPr>
      </w:pPr>
      <w:r w:rsidRPr="0072642C">
        <w:rPr>
          <w:lang w:val="lt-LT"/>
        </w:rPr>
        <w:lastRenderedPageBreak/>
        <w:t>Moterys gyvena ilgiau, todėl jų mirtingumas vyresnėse amžiaus grupėse (75 ir vyresni) didesnis</w:t>
      </w:r>
      <w:r>
        <w:rPr>
          <w:lang w:val="lt-LT"/>
        </w:rPr>
        <w:t xml:space="preserve"> negu vyrų</w:t>
      </w:r>
      <w:r w:rsidRPr="0072642C">
        <w:rPr>
          <w:lang w:val="lt-LT"/>
        </w:rPr>
        <w:t>. Vyrų mirtingumas didesnis visose amžiaus gr</w:t>
      </w:r>
      <w:r>
        <w:rPr>
          <w:lang w:val="lt-LT"/>
        </w:rPr>
        <w:t>upėse iki 74 m. (3 pav.).</w:t>
      </w:r>
    </w:p>
    <w:p w:rsidR="00C724E1" w:rsidRDefault="00C724E1" w:rsidP="00C724E1">
      <w:pPr>
        <w:contextualSpacing/>
        <w:rPr>
          <w:lang w:val="lt-LT"/>
        </w:rPr>
      </w:pPr>
      <w:r>
        <w:rPr>
          <w:lang w:val="lt-LT" w:eastAsia="lt-LT"/>
        </w:rPr>
        <w:drawing>
          <wp:inline distT="0" distB="0" distL="0" distR="0">
            <wp:extent cx="6241297" cy="3047734"/>
            <wp:effectExtent l="19050" t="0" r="26153" b="266"/>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724E1" w:rsidRPr="00C724E1" w:rsidRDefault="00C724E1" w:rsidP="00C724E1">
      <w:pPr>
        <w:contextualSpacing/>
        <w:rPr>
          <w:b/>
          <w:sz w:val="20"/>
          <w:szCs w:val="20"/>
        </w:rPr>
      </w:pPr>
      <w:r>
        <w:br/>
      </w:r>
      <w:r w:rsidRPr="00C724E1">
        <w:rPr>
          <w:b/>
          <w:sz w:val="20"/>
          <w:szCs w:val="20"/>
        </w:rPr>
        <w:t>3 pav.</w:t>
      </w:r>
      <w:r w:rsidR="000724DE">
        <w:rPr>
          <w:b/>
          <w:sz w:val="20"/>
          <w:szCs w:val="20"/>
        </w:rPr>
        <w:t xml:space="preserve"> </w:t>
      </w:r>
      <w:r w:rsidRPr="00C724E1">
        <w:rPr>
          <w:b/>
          <w:sz w:val="20"/>
          <w:szCs w:val="20"/>
          <w:lang w:val="lt-LT"/>
        </w:rPr>
        <w:t xml:space="preserve">Mirtingumas paga lytį ir amžiaus grupes </w:t>
      </w:r>
      <w:r w:rsidRPr="00C724E1">
        <w:rPr>
          <w:b/>
          <w:sz w:val="20"/>
          <w:szCs w:val="20"/>
        </w:rPr>
        <w:t>2010 m.Vilniaus r.</w:t>
      </w:r>
    </w:p>
    <w:p w:rsidR="00C724E1" w:rsidRDefault="00C724E1" w:rsidP="00C724E1">
      <w:pPr>
        <w:jc w:val="both"/>
        <w:rPr>
          <w:lang w:val="lt-LT"/>
        </w:rPr>
      </w:pPr>
    </w:p>
    <w:p w:rsidR="00C724E1" w:rsidRPr="0072642C" w:rsidRDefault="00C724E1" w:rsidP="00C724E1">
      <w:pPr>
        <w:ind w:firstLine="720"/>
        <w:jc w:val="both"/>
        <w:rPr>
          <w:lang w:val="lt-LT"/>
        </w:rPr>
      </w:pPr>
      <w:r w:rsidRPr="0072642C">
        <w:rPr>
          <w:lang w:val="lt-LT"/>
        </w:rPr>
        <w:t xml:space="preserve">Natūralus gyventojų prieaugis </w:t>
      </w:r>
      <w:r>
        <w:rPr>
          <w:lang w:val="lt-LT"/>
        </w:rPr>
        <w:t xml:space="preserve">Vilniaus r. yra neigiams ir </w:t>
      </w:r>
      <w:r w:rsidRPr="0072642C">
        <w:t>2010 m. sudar</w:t>
      </w:r>
      <w:r w:rsidRPr="0072642C">
        <w:rPr>
          <w:lang w:val="lt-LT"/>
        </w:rPr>
        <w:t xml:space="preserve">ė </w:t>
      </w:r>
      <w:r>
        <w:t>-0,1</w:t>
      </w:r>
      <w:r w:rsidRPr="0072642C">
        <w:t>/1000 gyventoj</w:t>
      </w:r>
      <w:r>
        <w:rPr>
          <w:lang w:val="lt-LT"/>
        </w:rPr>
        <w:t xml:space="preserve">ų, kai Lietuvoje buvo </w:t>
      </w:r>
      <w:r w:rsidRPr="0072642C">
        <w:rPr>
          <w:lang w:val="lt-LT"/>
        </w:rPr>
        <w:t>-</w:t>
      </w:r>
      <w:r w:rsidRPr="0072642C">
        <w:t>2/1000 gyv.</w:t>
      </w:r>
      <w:r>
        <w:rPr>
          <w:lang w:val="lt-LT"/>
        </w:rPr>
        <w:t xml:space="preserve"> (4 pav.).</w:t>
      </w:r>
    </w:p>
    <w:p w:rsidR="00C724E1" w:rsidRDefault="00C724E1" w:rsidP="00C724E1">
      <w:pPr>
        <w:contextualSpacing/>
        <w:rPr>
          <w:lang w:val="lt-LT"/>
        </w:rPr>
      </w:pPr>
    </w:p>
    <w:p w:rsidR="00C724E1" w:rsidRDefault="00C724E1" w:rsidP="00C724E1">
      <w:pPr>
        <w:contextualSpacing/>
        <w:rPr>
          <w:lang w:val="lt-LT"/>
        </w:rPr>
      </w:pPr>
      <w:r>
        <w:rPr>
          <w:lang w:val="lt-LT" w:eastAsia="lt-LT"/>
        </w:rPr>
        <w:drawing>
          <wp:inline distT="0" distB="0" distL="0" distR="0">
            <wp:extent cx="6159574" cy="3002664"/>
            <wp:effectExtent l="19050" t="0" r="12626" b="7236"/>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724E1" w:rsidRDefault="00C724E1" w:rsidP="00C724E1">
      <w:pPr>
        <w:contextualSpacing/>
        <w:rPr>
          <w:lang w:val="lt-LT"/>
        </w:rPr>
      </w:pPr>
    </w:p>
    <w:p w:rsidR="00C724E1" w:rsidRPr="00C724E1" w:rsidRDefault="00C724E1" w:rsidP="00C724E1">
      <w:pPr>
        <w:contextualSpacing/>
        <w:rPr>
          <w:b/>
          <w:sz w:val="20"/>
          <w:szCs w:val="20"/>
          <w:lang w:val="lt-LT"/>
        </w:rPr>
      </w:pPr>
      <w:r w:rsidRPr="00C724E1">
        <w:rPr>
          <w:b/>
          <w:sz w:val="20"/>
          <w:szCs w:val="20"/>
        </w:rPr>
        <w:t>4 pav.</w:t>
      </w:r>
      <w:r w:rsidR="000724DE">
        <w:rPr>
          <w:b/>
          <w:sz w:val="20"/>
          <w:szCs w:val="20"/>
        </w:rPr>
        <w:t xml:space="preserve"> </w:t>
      </w:r>
      <w:r w:rsidRPr="00C724E1">
        <w:rPr>
          <w:b/>
          <w:sz w:val="20"/>
          <w:szCs w:val="20"/>
        </w:rPr>
        <w:t>Nat</w:t>
      </w:r>
      <w:r w:rsidRPr="00C724E1">
        <w:rPr>
          <w:b/>
          <w:sz w:val="20"/>
          <w:szCs w:val="20"/>
          <w:lang w:val="lt-LT"/>
        </w:rPr>
        <w:t>ūralaus gyventojų prieaugio</w:t>
      </w:r>
      <w:r w:rsidRPr="00C724E1">
        <w:rPr>
          <w:b/>
          <w:sz w:val="20"/>
          <w:szCs w:val="20"/>
        </w:rPr>
        <w:t xml:space="preserve"> poky</w:t>
      </w:r>
      <w:r w:rsidRPr="00C724E1">
        <w:rPr>
          <w:b/>
          <w:sz w:val="20"/>
          <w:szCs w:val="20"/>
          <w:lang w:val="lt-LT"/>
        </w:rPr>
        <w:t>čiai</w:t>
      </w:r>
      <w:r w:rsidRPr="00C724E1">
        <w:rPr>
          <w:b/>
          <w:sz w:val="20"/>
          <w:szCs w:val="20"/>
        </w:rPr>
        <w:t xml:space="preserve"> 1000 gyv. </w:t>
      </w:r>
      <w:r w:rsidRPr="00C724E1">
        <w:rPr>
          <w:b/>
          <w:sz w:val="20"/>
          <w:szCs w:val="20"/>
          <w:lang w:val="lt-LT"/>
        </w:rPr>
        <w:t>2001-2010 m. Vilniaus r. ir Lietuvoje</w:t>
      </w:r>
    </w:p>
    <w:p w:rsidR="00C724E1" w:rsidRPr="001F0A02" w:rsidRDefault="00C724E1" w:rsidP="000724DE">
      <w:pPr>
        <w:ind w:firstLine="720"/>
        <w:jc w:val="both"/>
        <w:rPr>
          <w:lang w:val="lt-LT"/>
        </w:rPr>
      </w:pPr>
      <w:r w:rsidRPr="0072642C">
        <w:rPr>
          <w:lang w:val="lt-LT"/>
        </w:rPr>
        <w:t xml:space="preserve">Iš viso </w:t>
      </w:r>
      <w:r w:rsidRPr="001F0A02">
        <w:rPr>
          <w:lang w:val="lt-LT"/>
        </w:rPr>
        <w:t>2010 m. Vilni</w:t>
      </w:r>
      <w:r>
        <w:rPr>
          <w:lang w:val="lt-LT"/>
        </w:rPr>
        <w:t>a</w:t>
      </w:r>
      <w:r w:rsidRPr="001F0A02">
        <w:rPr>
          <w:lang w:val="lt-LT"/>
        </w:rPr>
        <w:t>u</w:t>
      </w:r>
      <w:r>
        <w:rPr>
          <w:lang w:val="lt-LT"/>
        </w:rPr>
        <w:t>s r.</w:t>
      </w:r>
      <w:r w:rsidRPr="001F0A02">
        <w:rPr>
          <w:lang w:val="lt-LT"/>
        </w:rPr>
        <w:t xml:space="preserve"> gim</w:t>
      </w:r>
      <w:r w:rsidRPr="0072642C">
        <w:rPr>
          <w:lang w:val="lt-LT"/>
        </w:rPr>
        <w:t xml:space="preserve">ė </w:t>
      </w:r>
      <w:r w:rsidRPr="001F0A02">
        <w:rPr>
          <w:lang w:val="lt-LT"/>
        </w:rPr>
        <w:t>7613 kūdiki</w:t>
      </w:r>
      <w:r>
        <w:rPr>
          <w:lang w:val="lt-LT"/>
        </w:rPr>
        <w:t>ų. Daugiausiai kūdikių pagimdė 25-29 m. amžiaus moterys (</w:t>
      </w:r>
      <w:r w:rsidRPr="001F0A02">
        <w:rPr>
          <w:lang w:val="lt-LT"/>
        </w:rPr>
        <w:t>3</w:t>
      </w:r>
      <w:r>
        <w:rPr>
          <w:lang w:val="lt-LT"/>
        </w:rPr>
        <w:t>8</w:t>
      </w:r>
      <w:r w:rsidRPr="001F0A02">
        <w:rPr>
          <w:lang w:val="lt-LT"/>
        </w:rPr>
        <w:t xml:space="preserve"> %</w:t>
      </w:r>
      <w:r>
        <w:rPr>
          <w:lang w:val="lt-LT"/>
        </w:rPr>
        <w:t>) ir 30-34 m. amžiaus moterys (27</w:t>
      </w:r>
      <w:r w:rsidRPr="001F0A02">
        <w:rPr>
          <w:lang w:val="lt-LT"/>
        </w:rPr>
        <w:t xml:space="preserve"> %</w:t>
      </w:r>
      <w:r>
        <w:rPr>
          <w:lang w:val="lt-LT"/>
        </w:rPr>
        <w:t>)</w:t>
      </w:r>
      <w:r w:rsidRPr="0072642C">
        <w:rPr>
          <w:lang w:val="lt-LT"/>
        </w:rPr>
        <w:t xml:space="preserve"> (</w:t>
      </w:r>
      <w:r w:rsidRPr="001F0A02">
        <w:rPr>
          <w:lang w:val="lt-LT"/>
        </w:rPr>
        <w:t>5 pav.</w:t>
      </w:r>
      <w:r w:rsidRPr="0072642C">
        <w:rPr>
          <w:lang w:val="lt-LT"/>
        </w:rPr>
        <w:t>)</w:t>
      </w:r>
      <w:r>
        <w:rPr>
          <w:lang w:val="lt-LT"/>
        </w:rPr>
        <w:t>.</w:t>
      </w:r>
    </w:p>
    <w:p w:rsidR="00C724E1" w:rsidRDefault="00C724E1" w:rsidP="00C724E1">
      <w:pPr>
        <w:contextualSpacing/>
        <w:rPr>
          <w:lang w:val="lt-LT"/>
        </w:rPr>
      </w:pPr>
    </w:p>
    <w:p w:rsidR="00C724E1" w:rsidRDefault="00C724E1" w:rsidP="00C724E1">
      <w:pPr>
        <w:contextualSpacing/>
        <w:rPr>
          <w:lang w:val="lt-LT"/>
        </w:rPr>
      </w:pPr>
      <w:r>
        <w:rPr>
          <w:lang w:val="lt-LT" w:eastAsia="lt-LT"/>
        </w:rPr>
        <w:drawing>
          <wp:inline distT="0" distB="0" distL="0" distR="0">
            <wp:extent cx="6162114" cy="2745415"/>
            <wp:effectExtent l="19050" t="0" r="10086"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724E1" w:rsidRPr="00C724E1" w:rsidRDefault="00C724E1" w:rsidP="00C724E1">
      <w:pPr>
        <w:autoSpaceDE w:val="0"/>
        <w:autoSpaceDN w:val="0"/>
        <w:adjustRightInd w:val="0"/>
        <w:contextualSpacing/>
        <w:rPr>
          <w:rFonts w:eastAsiaTheme="minorHAnsi"/>
          <w:b/>
          <w:sz w:val="20"/>
          <w:szCs w:val="20"/>
        </w:rPr>
      </w:pPr>
      <w:r>
        <w:rPr>
          <w:rFonts w:eastAsiaTheme="minorHAnsi"/>
        </w:rPr>
        <w:br/>
      </w:r>
      <w:r w:rsidRPr="00C724E1">
        <w:rPr>
          <w:rFonts w:eastAsiaTheme="minorHAnsi"/>
          <w:b/>
          <w:sz w:val="20"/>
          <w:szCs w:val="20"/>
        </w:rPr>
        <w:t>5pav.</w:t>
      </w:r>
      <w:r w:rsidR="000724DE">
        <w:rPr>
          <w:rFonts w:eastAsiaTheme="minorHAnsi"/>
          <w:b/>
          <w:sz w:val="20"/>
          <w:szCs w:val="20"/>
        </w:rPr>
        <w:t xml:space="preserve"> </w:t>
      </w:r>
      <w:r>
        <w:rPr>
          <w:rFonts w:eastAsiaTheme="minorHAnsi"/>
          <w:b/>
          <w:sz w:val="20"/>
          <w:szCs w:val="20"/>
        </w:rPr>
        <w:t xml:space="preserve"> </w:t>
      </w:r>
      <w:r w:rsidRPr="00C724E1">
        <w:rPr>
          <w:rFonts w:eastAsiaTheme="minorHAnsi"/>
          <w:b/>
          <w:sz w:val="20"/>
          <w:szCs w:val="20"/>
        </w:rPr>
        <w:t>Gimusieji pagal motinos am</w:t>
      </w:r>
      <w:r w:rsidRPr="00C724E1">
        <w:rPr>
          <w:rFonts w:eastAsiaTheme="minorHAnsi"/>
          <w:b/>
          <w:sz w:val="20"/>
          <w:szCs w:val="20"/>
          <w:lang w:val="lt-LT"/>
        </w:rPr>
        <w:t xml:space="preserve">žių </w:t>
      </w:r>
      <w:r w:rsidRPr="00C724E1">
        <w:rPr>
          <w:rFonts w:eastAsiaTheme="minorHAnsi"/>
          <w:b/>
          <w:sz w:val="20"/>
          <w:szCs w:val="20"/>
        </w:rPr>
        <w:t>2010 m. Vilniaus r.</w:t>
      </w:r>
    </w:p>
    <w:p w:rsidR="00C724E1" w:rsidRDefault="00C724E1" w:rsidP="00C724E1">
      <w:pPr>
        <w:autoSpaceDE w:val="0"/>
        <w:autoSpaceDN w:val="0"/>
        <w:adjustRightInd w:val="0"/>
        <w:contextualSpacing/>
        <w:rPr>
          <w:rFonts w:eastAsiaTheme="minorHAnsi"/>
        </w:rPr>
      </w:pPr>
    </w:p>
    <w:p w:rsidR="00C724E1" w:rsidRDefault="00C724E1" w:rsidP="00C724E1">
      <w:pPr>
        <w:autoSpaceDE w:val="0"/>
        <w:autoSpaceDN w:val="0"/>
        <w:adjustRightInd w:val="0"/>
        <w:ind w:firstLine="720"/>
        <w:jc w:val="both"/>
        <w:rPr>
          <w:lang w:val="lt-LT"/>
        </w:rPr>
      </w:pPr>
      <w:r w:rsidRPr="0072642C">
        <w:t>I</w:t>
      </w:r>
      <w:r w:rsidRPr="0072642C">
        <w:rPr>
          <w:lang w:val="lt-LT"/>
        </w:rPr>
        <w:t xml:space="preserve">š </w:t>
      </w:r>
      <w:r w:rsidRPr="0072642C">
        <w:t>1000 gimusi</w:t>
      </w:r>
      <w:r w:rsidRPr="0072642C">
        <w:rPr>
          <w:lang w:val="lt-LT"/>
        </w:rPr>
        <w:t xml:space="preserve">ų kūdikių Vilniaus </w:t>
      </w:r>
      <w:r>
        <w:rPr>
          <w:lang w:val="lt-LT"/>
        </w:rPr>
        <w:t>r.</w:t>
      </w:r>
      <w:r w:rsidRPr="0072642C">
        <w:rPr>
          <w:lang w:val="lt-LT"/>
        </w:rPr>
        <w:t xml:space="preserve"> </w:t>
      </w:r>
      <w:r>
        <w:t>2</w:t>
      </w:r>
      <w:r w:rsidRPr="0072642C">
        <w:t>,</w:t>
      </w:r>
      <w:r>
        <w:t>6</w:t>
      </w:r>
      <w:r w:rsidRPr="0072642C">
        <w:t xml:space="preserve"> nesulauk</w:t>
      </w:r>
      <w:r w:rsidRPr="0072642C">
        <w:rPr>
          <w:lang w:val="lt-LT"/>
        </w:rPr>
        <w:t>ė</w:t>
      </w:r>
      <w:r w:rsidRPr="0072642C">
        <w:t xml:space="preserve"> 1 met</w:t>
      </w:r>
      <w:r w:rsidRPr="0072642C">
        <w:rPr>
          <w:lang w:val="lt-LT"/>
        </w:rPr>
        <w:t xml:space="preserve">ų. </w:t>
      </w:r>
      <w:r>
        <w:rPr>
          <w:lang w:val="lt-LT"/>
        </w:rPr>
        <w:t xml:space="preserve">Nors dėl mažo mirusiųjų kūdikių skaičiaus kūdikių mirtingumo rodiklis šokinėja, Vilniaus r. kaip ir visoje Lietuvoje pastebimos mažėjimo tendencijos </w:t>
      </w:r>
      <w:r w:rsidRPr="0072642C">
        <w:rPr>
          <w:lang w:val="lt-LT"/>
        </w:rPr>
        <w:t>(6 pav.)</w:t>
      </w:r>
    </w:p>
    <w:p w:rsidR="00C724E1" w:rsidRPr="00B57008" w:rsidRDefault="00C724E1" w:rsidP="00C724E1">
      <w:pPr>
        <w:autoSpaceDE w:val="0"/>
        <w:autoSpaceDN w:val="0"/>
        <w:adjustRightInd w:val="0"/>
        <w:jc w:val="both"/>
        <w:rPr>
          <w:lang w:val="lt-LT"/>
        </w:rPr>
      </w:pPr>
    </w:p>
    <w:p w:rsidR="00C724E1" w:rsidRDefault="00C724E1" w:rsidP="00C724E1">
      <w:pPr>
        <w:autoSpaceDE w:val="0"/>
        <w:autoSpaceDN w:val="0"/>
        <w:adjustRightInd w:val="0"/>
        <w:contextualSpacing/>
        <w:rPr>
          <w:rFonts w:ascii="ArialMT" w:eastAsiaTheme="minorHAnsi" w:hAnsi="ArialMT" w:cs="ArialMT"/>
          <w:sz w:val="20"/>
          <w:szCs w:val="20"/>
        </w:rPr>
      </w:pPr>
      <w:r>
        <w:rPr>
          <w:lang w:val="lt-LT" w:eastAsia="lt-LT"/>
        </w:rPr>
        <w:drawing>
          <wp:inline distT="0" distB="0" distL="0" distR="0">
            <wp:extent cx="6145619" cy="2849363"/>
            <wp:effectExtent l="19050" t="0" r="26581" b="8137"/>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724E1" w:rsidRPr="00C724E1" w:rsidRDefault="00C724E1" w:rsidP="00C724E1">
      <w:pPr>
        <w:contextualSpacing/>
        <w:rPr>
          <w:b/>
          <w:sz w:val="20"/>
          <w:szCs w:val="20"/>
          <w:lang w:val="lt-LT"/>
        </w:rPr>
      </w:pPr>
      <w:r>
        <w:br/>
      </w:r>
      <w:r w:rsidRPr="00C724E1">
        <w:rPr>
          <w:b/>
          <w:sz w:val="20"/>
          <w:szCs w:val="20"/>
        </w:rPr>
        <w:t>6 pav. K</w:t>
      </w:r>
      <w:r w:rsidRPr="00C724E1">
        <w:rPr>
          <w:b/>
          <w:sz w:val="20"/>
          <w:szCs w:val="20"/>
          <w:lang w:val="lt-LT"/>
        </w:rPr>
        <w:t xml:space="preserve">ūdikių iki </w:t>
      </w:r>
      <w:r w:rsidRPr="00C724E1">
        <w:rPr>
          <w:b/>
          <w:sz w:val="20"/>
          <w:szCs w:val="20"/>
        </w:rPr>
        <w:t>1 metų mirtingumas 1000 g</w:t>
      </w:r>
      <w:r w:rsidR="00EA0BC5">
        <w:rPr>
          <w:b/>
          <w:sz w:val="20"/>
          <w:szCs w:val="20"/>
        </w:rPr>
        <w:t>imusi</w:t>
      </w:r>
      <w:r w:rsidR="00EA0BC5">
        <w:rPr>
          <w:b/>
          <w:sz w:val="20"/>
          <w:szCs w:val="20"/>
          <w:lang w:val="lt-LT"/>
        </w:rPr>
        <w:t>ų</w:t>
      </w:r>
      <w:r w:rsidRPr="00C724E1">
        <w:rPr>
          <w:b/>
          <w:sz w:val="20"/>
          <w:szCs w:val="20"/>
        </w:rPr>
        <w:t xml:space="preserve">  </w:t>
      </w:r>
      <w:r w:rsidRPr="00C724E1">
        <w:rPr>
          <w:b/>
          <w:sz w:val="20"/>
          <w:szCs w:val="20"/>
          <w:lang w:val="lt-LT"/>
        </w:rPr>
        <w:t>2001-2010 m. Vilniaus m. ir Lietuvoje</w:t>
      </w:r>
    </w:p>
    <w:p w:rsidR="00C724E1" w:rsidRDefault="00C724E1" w:rsidP="00C724E1">
      <w:pPr>
        <w:autoSpaceDE w:val="0"/>
        <w:autoSpaceDN w:val="0"/>
        <w:adjustRightInd w:val="0"/>
        <w:contextualSpacing/>
        <w:rPr>
          <w:rFonts w:ascii="ArialMT" w:eastAsiaTheme="minorHAnsi" w:hAnsi="ArialMT" w:cs="ArialMT"/>
          <w:sz w:val="20"/>
          <w:szCs w:val="20"/>
        </w:rPr>
      </w:pPr>
    </w:p>
    <w:p w:rsidR="00C724E1" w:rsidRDefault="00C724E1" w:rsidP="00C724E1">
      <w:pPr>
        <w:autoSpaceDE w:val="0"/>
        <w:autoSpaceDN w:val="0"/>
        <w:adjustRightInd w:val="0"/>
        <w:contextualSpacing/>
        <w:rPr>
          <w:rFonts w:ascii="ArialMT" w:eastAsiaTheme="minorHAnsi" w:hAnsi="ArialMT" w:cs="ArialMT"/>
          <w:sz w:val="20"/>
          <w:szCs w:val="20"/>
        </w:rPr>
      </w:pPr>
    </w:p>
    <w:p w:rsidR="00C724E1" w:rsidRDefault="00C724E1" w:rsidP="00C724E1">
      <w:pPr>
        <w:autoSpaceDE w:val="0"/>
        <w:autoSpaceDN w:val="0"/>
        <w:adjustRightInd w:val="0"/>
        <w:contextualSpacing/>
        <w:rPr>
          <w:rFonts w:ascii="ArialMT" w:eastAsiaTheme="minorHAnsi" w:hAnsi="ArialMT" w:cs="ArialMT"/>
          <w:sz w:val="20"/>
          <w:szCs w:val="20"/>
        </w:rPr>
      </w:pPr>
    </w:p>
    <w:p w:rsidR="00C724E1" w:rsidRDefault="00C724E1" w:rsidP="00C724E1">
      <w:pPr>
        <w:autoSpaceDE w:val="0"/>
        <w:autoSpaceDN w:val="0"/>
        <w:adjustRightInd w:val="0"/>
        <w:contextualSpacing/>
        <w:rPr>
          <w:rFonts w:ascii="ArialMT" w:eastAsiaTheme="minorHAnsi" w:hAnsi="ArialMT" w:cs="ArialMT"/>
          <w:sz w:val="20"/>
          <w:szCs w:val="20"/>
        </w:rPr>
      </w:pPr>
    </w:p>
    <w:p w:rsidR="00C724E1" w:rsidRPr="00D45E41" w:rsidRDefault="00C724E1" w:rsidP="000724DE">
      <w:pPr>
        <w:autoSpaceDE w:val="0"/>
        <w:autoSpaceDN w:val="0"/>
        <w:adjustRightInd w:val="0"/>
        <w:ind w:firstLine="720"/>
        <w:contextualSpacing/>
        <w:rPr>
          <w:color w:val="000000"/>
          <w:lang w:val="lt-LT"/>
        </w:rPr>
      </w:pPr>
      <w:r>
        <w:rPr>
          <w:color w:val="000000"/>
        </w:rPr>
        <w:t>Vilniaus teritorin</w:t>
      </w:r>
      <w:r>
        <w:rPr>
          <w:color w:val="000000"/>
          <w:lang w:val="lt-LT"/>
        </w:rPr>
        <w:t xml:space="preserve">ės darbo biržos duomenimis, </w:t>
      </w:r>
      <w:r>
        <w:rPr>
          <w:color w:val="000000"/>
        </w:rPr>
        <w:t xml:space="preserve">nuo 2010 m. </w:t>
      </w:r>
      <w:r>
        <w:rPr>
          <w:color w:val="000000"/>
          <w:lang w:val="lt-LT"/>
        </w:rPr>
        <w:t>s</w:t>
      </w:r>
      <w:r w:rsidRPr="00D45E41">
        <w:rPr>
          <w:color w:val="000000"/>
          <w:lang w:val="lt-LT"/>
        </w:rPr>
        <w:t xml:space="preserve">palio 1 d. </w:t>
      </w:r>
      <w:r w:rsidR="000724DE">
        <w:rPr>
          <w:color w:val="000000"/>
          <w:lang w:val="lt-LT"/>
        </w:rPr>
        <w:t xml:space="preserve">lygiai per metus, </w:t>
      </w:r>
      <w:r>
        <w:rPr>
          <w:color w:val="000000"/>
          <w:lang w:val="lt-LT"/>
        </w:rPr>
        <w:t xml:space="preserve">Vilniaus r. nedarbas sumažėjo  </w:t>
      </w:r>
      <w:r>
        <w:rPr>
          <w:color w:val="000000"/>
        </w:rPr>
        <w:t>5,8</w:t>
      </w:r>
      <w:r>
        <w:rPr>
          <w:color w:val="000000"/>
          <w:lang w:val="lt-LT"/>
        </w:rPr>
        <w:t xml:space="preserve"> %. (7 pav.)</w:t>
      </w:r>
    </w:p>
    <w:p w:rsidR="00C724E1" w:rsidRDefault="00C724E1" w:rsidP="00C724E1">
      <w:pPr>
        <w:autoSpaceDE w:val="0"/>
        <w:autoSpaceDN w:val="0"/>
        <w:adjustRightInd w:val="0"/>
        <w:contextualSpacing/>
        <w:rPr>
          <w:color w:val="000000"/>
          <w:lang w:val="lt-LT"/>
        </w:rPr>
      </w:pPr>
    </w:p>
    <w:p w:rsidR="00C724E1" w:rsidRPr="00D45E41" w:rsidRDefault="00C724E1" w:rsidP="00C724E1">
      <w:pPr>
        <w:autoSpaceDE w:val="0"/>
        <w:autoSpaceDN w:val="0"/>
        <w:adjustRightInd w:val="0"/>
        <w:contextualSpacing/>
        <w:rPr>
          <w:color w:val="000000"/>
          <w:lang w:val="lt-LT"/>
        </w:rPr>
      </w:pPr>
      <w:r>
        <w:rPr>
          <w:lang w:val="lt-LT" w:eastAsia="lt-LT"/>
        </w:rPr>
        <w:drawing>
          <wp:inline distT="0" distB="0" distL="0" distR="0">
            <wp:extent cx="6081823" cy="2745415"/>
            <wp:effectExtent l="19050" t="0" r="14177"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724E1" w:rsidRDefault="00C724E1" w:rsidP="00C724E1">
      <w:pPr>
        <w:autoSpaceDE w:val="0"/>
        <w:autoSpaceDN w:val="0"/>
        <w:adjustRightInd w:val="0"/>
        <w:contextualSpacing/>
        <w:rPr>
          <w:rFonts w:ascii="ArialMT" w:eastAsiaTheme="minorHAnsi" w:hAnsi="ArialMT" w:cs="ArialMT"/>
          <w:sz w:val="20"/>
          <w:szCs w:val="20"/>
        </w:rPr>
      </w:pPr>
    </w:p>
    <w:p w:rsidR="00C724E1" w:rsidRPr="00C724E1" w:rsidRDefault="00C724E1" w:rsidP="00C724E1">
      <w:pPr>
        <w:autoSpaceDE w:val="0"/>
        <w:autoSpaceDN w:val="0"/>
        <w:adjustRightInd w:val="0"/>
        <w:contextualSpacing/>
        <w:rPr>
          <w:rFonts w:eastAsiaTheme="minorHAnsi"/>
          <w:b/>
          <w:sz w:val="20"/>
          <w:szCs w:val="20"/>
        </w:rPr>
      </w:pPr>
      <w:r w:rsidRPr="00C724E1">
        <w:rPr>
          <w:rFonts w:eastAsiaTheme="minorHAnsi"/>
          <w:b/>
          <w:sz w:val="20"/>
          <w:szCs w:val="20"/>
        </w:rPr>
        <w:t>7 pav.</w:t>
      </w:r>
      <w:r w:rsidR="000724DE">
        <w:rPr>
          <w:rFonts w:eastAsiaTheme="minorHAnsi"/>
          <w:b/>
          <w:sz w:val="20"/>
          <w:szCs w:val="20"/>
        </w:rPr>
        <w:t xml:space="preserve"> </w:t>
      </w:r>
      <w:r w:rsidRPr="00C724E1">
        <w:rPr>
          <w:rFonts w:eastAsiaTheme="minorHAnsi"/>
          <w:b/>
          <w:sz w:val="20"/>
          <w:szCs w:val="20"/>
        </w:rPr>
        <w:t>Bedarbių procentas nuo darbingo amžiaus žmonių Vilniaus regione 2010 – 2011 m.</w:t>
      </w:r>
    </w:p>
    <w:p w:rsidR="00E40D1D" w:rsidRPr="00E40D1D" w:rsidRDefault="00E40D1D" w:rsidP="00E40D1D">
      <w:pPr>
        <w:rPr>
          <w:lang w:val="lt-LT"/>
        </w:rPr>
      </w:pPr>
    </w:p>
    <w:p w:rsidR="0072642C" w:rsidRPr="00E40D1D" w:rsidRDefault="0072642C" w:rsidP="00E40D1D">
      <w:pPr>
        <w:rPr>
          <w:lang w:val="lt-LT"/>
        </w:rPr>
      </w:pPr>
    </w:p>
    <w:p w:rsidR="0072642C" w:rsidRPr="00E40D1D" w:rsidRDefault="0072642C" w:rsidP="00E40D1D">
      <w:pPr>
        <w:rPr>
          <w:sz w:val="40"/>
          <w:szCs w:val="40"/>
        </w:rPr>
      </w:pPr>
    </w:p>
    <w:p w:rsidR="0072642C" w:rsidRPr="00E40D1D" w:rsidRDefault="0072642C" w:rsidP="00E40D1D">
      <w:pPr>
        <w:rPr>
          <w:sz w:val="40"/>
          <w:szCs w:val="40"/>
        </w:rPr>
      </w:pPr>
    </w:p>
    <w:p w:rsidR="0072642C" w:rsidRPr="00E40D1D" w:rsidRDefault="0072642C" w:rsidP="00E40D1D">
      <w:pPr>
        <w:rPr>
          <w:sz w:val="40"/>
          <w:szCs w:val="40"/>
        </w:rPr>
      </w:pPr>
    </w:p>
    <w:p w:rsidR="0072642C" w:rsidRPr="00E40D1D" w:rsidRDefault="0072642C" w:rsidP="00E40D1D">
      <w:pPr>
        <w:rPr>
          <w:sz w:val="40"/>
          <w:szCs w:val="40"/>
        </w:rPr>
      </w:pPr>
    </w:p>
    <w:p w:rsidR="0072642C" w:rsidRPr="00E40D1D" w:rsidRDefault="0072642C" w:rsidP="00E40D1D">
      <w:pPr>
        <w:rPr>
          <w:sz w:val="40"/>
          <w:szCs w:val="40"/>
        </w:rPr>
      </w:pPr>
    </w:p>
    <w:p w:rsidR="0072642C" w:rsidRPr="00E40D1D" w:rsidRDefault="0072642C" w:rsidP="00E40D1D">
      <w:pPr>
        <w:jc w:val="both"/>
        <w:rPr>
          <w:sz w:val="32"/>
          <w:szCs w:val="32"/>
        </w:rPr>
      </w:pPr>
    </w:p>
    <w:p w:rsidR="0072642C" w:rsidRPr="00E40D1D" w:rsidRDefault="0072642C" w:rsidP="00E40D1D">
      <w:pPr>
        <w:jc w:val="both"/>
        <w:rPr>
          <w:sz w:val="32"/>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2750B8" w:rsidRPr="00E40D1D" w:rsidRDefault="002750B8" w:rsidP="00E40D1D">
      <w:pPr>
        <w:jc w:val="center"/>
        <w:rPr>
          <w:sz w:val="56"/>
          <w:szCs w:val="32"/>
        </w:rPr>
      </w:pPr>
    </w:p>
    <w:p w:rsidR="002750B8" w:rsidRPr="00E40D1D" w:rsidRDefault="002750B8" w:rsidP="00E40D1D">
      <w:pPr>
        <w:jc w:val="center"/>
        <w:rPr>
          <w:sz w:val="56"/>
          <w:szCs w:val="32"/>
        </w:rPr>
      </w:pPr>
    </w:p>
    <w:p w:rsidR="002750B8" w:rsidRPr="00E40D1D" w:rsidRDefault="002750B8" w:rsidP="00E40D1D">
      <w:pPr>
        <w:jc w:val="center"/>
        <w:rPr>
          <w:sz w:val="56"/>
          <w:szCs w:val="32"/>
        </w:rPr>
      </w:pPr>
    </w:p>
    <w:p w:rsidR="00C147B4" w:rsidRPr="00E40D1D" w:rsidRDefault="00C147B4" w:rsidP="00E40D1D">
      <w:pPr>
        <w:jc w:val="center"/>
        <w:rPr>
          <w:sz w:val="56"/>
          <w:szCs w:val="32"/>
        </w:rPr>
      </w:pPr>
      <w:r w:rsidRPr="00E40D1D">
        <w:rPr>
          <w:sz w:val="56"/>
          <w:szCs w:val="32"/>
        </w:rPr>
        <w:t>MIRTINGUMAS</w:t>
      </w: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0D0D60" w:rsidRPr="00E40D1D" w:rsidRDefault="000D0D60" w:rsidP="00E40D1D">
      <w:pPr>
        <w:spacing w:after="0"/>
        <w:ind w:left="709" w:right="-437"/>
        <w:jc w:val="center"/>
        <w:rPr>
          <w:b/>
          <w:szCs w:val="24"/>
        </w:rPr>
      </w:pPr>
    </w:p>
    <w:p w:rsidR="000D0D60" w:rsidRPr="00E40D1D" w:rsidRDefault="000D0D60" w:rsidP="00E40D1D">
      <w:pPr>
        <w:spacing w:after="0"/>
        <w:ind w:left="709" w:right="-437"/>
        <w:jc w:val="center"/>
        <w:rPr>
          <w:b/>
          <w:szCs w:val="24"/>
        </w:rPr>
      </w:pPr>
    </w:p>
    <w:p w:rsidR="000D0D60" w:rsidRPr="00E40D1D" w:rsidRDefault="000D0D60" w:rsidP="00E40D1D">
      <w:pPr>
        <w:spacing w:after="0"/>
        <w:ind w:left="709" w:right="-437"/>
        <w:jc w:val="center"/>
        <w:rPr>
          <w:b/>
          <w:szCs w:val="24"/>
        </w:rPr>
      </w:pPr>
    </w:p>
    <w:p w:rsidR="000D0D60" w:rsidRPr="00E40D1D" w:rsidRDefault="000D0D60" w:rsidP="00E40D1D">
      <w:pPr>
        <w:spacing w:after="0"/>
        <w:ind w:left="709" w:right="-437"/>
        <w:jc w:val="center"/>
        <w:rPr>
          <w:b/>
          <w:szCs w:val="24"/>
        </w:rPr>
      </w:pPr>
    </w:p>
    <w:p w:rsidR="000D0D60" w:rsidRPr="00E40D1D" w:rsidRDefault="000D0D60" w:rsidP="00E40D1D">
      <w:pPr>
        <w:spacing w:after="0"/>
        <w:ind w:left="709" w:right="-437"/>
        <w:jc w:val="center"/>
        <w:rPr>
          <w:b/>
          <w:szCs w:val="24"/>
        </w:rPr>
      </w:pPr>
    </w:p>
    <w:p w:rsidR="000D0D60" w:rsidRPr="00E40D1D" w:rsidRDefault="000D0D60" w:rsidP="00E40D1D">
      <w:pPr>
        <w:spacing w:after="0"/>
        <w:ind w:left="709" w:right="-437"/>
        <w:jc w:val="center"/>
        <w:rPr>
          <w:b/>
          <w:szCs w:val="24"/>
        </w:rPr>
      </w:pPr>
    </w:p>
    <w:p w:rsidR="000D0D60" w:rsidRPr="00E40D1D" w:rsidRDefault="000D0D60" w:rsidP="00E40D1D">
      <w:pPr>
        <w:spacing w:after="0"/>
        <w:ind w:left="709" w:right="-437"/>
        <w:jc w:val="center"/>
        <w:rPr>
          <w:b/>
          <w:szCs w:val="24"/>
        </w:rPr>
      </w:pPr>
    </w:p>
    <w:p w:rsidR="000D0D60" w:rsidRPr="00E40D1D" w:rsidRDefault="000D0D60" w:rsidP="00E40D1D">
      <w:pPr>
        <w:spacing w:after="0"/>
        <w:ind w:left="709" w:right="-437"/>
        <w:jc w:val="center"/>
        <w:rPr>
          <w:b/>
          <w:szCs w:val="24"/>
        </w:rPr>
      </w:pPr>
    </w:p>
    <w:p w:rsidR="002750B8" w:rsidRPr="00E40D1D" w:rsidRDefault="002750B8" w:rsidP="00E40D1D">
      <w:pPr>
        <w:spacing w:after="0"/>
        <w:ind w:left="709" w:right="-437"/>
        <w:jc w:val="center"/>
        <w:rPr>
          <w:b/>
          <w:szCs w:val="24"/>
        </w:rPr>
      </w:pPr>
    </w:p>
    <w:p w:rsidR="000D0D60" w:rsidRDefault="000D0D60" w:rsidP="00E40D1D">
      <w:pPr>
        <w:spacing w:after="0"/>
        <w:ind w:left="709" w:right="-437"/>
        <w:jc w:val="center"/>
        <w:rPr>
          <w:b/>
          <w:szCs w:val="24"/>
        </w:rPr>
      </w:pPr>
    </w:p>
    <w:p w:rsidR="00ED5237" w:rsidRDefault="00ED5237" w:rsidP="00E40D1D">
      <w:pPr>
        <w:spacing w:after="0"/>
        <w:ind w:left="709" w:right="-437"/>
        <w:jc w:val="center"/>
        <w:rPr>
          <w:b/>
          <w:szCs w:val="24"/>
        </w:rPr>
      </w:pPr>
    </w:p>
    <w:p w:rsidR="00ED5237" w:rsidRDefault="00ED5237" w:rsidP="00E40D1D">
      <w:pPr>
        <w:spacing w:after="0"/>
        <w:ind w:left="709" w:right="-437"/>
        <w:jc w:val="center"/>
        <w:rPr>
          <w:b/>
          <w:szCs w:val="24"/>
        </w:rPr>
      </w:pPr>
    </w:p>
    <w:p w:rsidR="00ED5237" w:rsidRDefault="00ED5237" w:rsidP="00E40D1D">
      <w:pPr>
        <w:spacing w:after="0"/>
        <w:ind w:left="709" w:right="-437"/>
        <w:jc w:val="center"/>
        <w:rPr>
          <w:b/>
          <w:szCs w:val="24"/>
        </w:rPr>
      </w:pPr>
    </w:p>
    <w:p w:rsidR="00ED5237" w:rsidRPr="00E40D1D" w:rsidRDefault="00ED5237" w:rsidP="00E40D1D">
      <w:pPr>
        <w:spacing w:after="0"/>
        <w:ind w:left="709" w:right="-437"/>
        <w:jc w:val="center"/>
        <w:rPr>
          <w:b/>
          <w:szCs w:val="24"/>
        </w:rPr>
      </w:pPr>
    </w:p>
    <w:p w:rsidR="00A311BD" w:rsidRDefault="00A311BD" w:rsidP="00C724E1">
      <w:pPr>
        <w:spacing w:after="0"/>
        <w:ind w:right="-437"/>
        <w:rPr>
          <w:b/>
          <w:szCs w:val="24"/>
        </w:rPr>
      </w:pPr>
    </w:p>
    <w:p w:rsidR="009B4765" w:rsidRPr="00703C96" w:rsidRDefault="009B4765" w:rsidP="00C724E1">
      <w:pPr>
        <w:spacing w:after="0"/>
        <w:ind w:right="49"/>
        <w:jc w:val="center"/>
        <w:rPr>
          <w:b/>
          <w:szCs w:val="24"/>
        </w:rPr>
      </w:pPr>
      <w:r>
        <w:rPr>
          <w:b/>
          <w:szCs w:val="24"/>
        </w:rPr>
        <w:lastRenderedPageBreak/>
        <w:t>Gyventojų mirtingumas</w:t>
      </w:r>
    </w:p>
    <w:p w:rsidR="009B4765" w:rsidRDefault="009B4765" w:rsidP="00A311BD">
      <w:pPr>
        <w:spacing w:after="0"/>
        <w:ind w:right="49"/>
        <w:rPr>
          <w:szCs w:val="24"/>
        </w:rPr>
      </w:pPr>
    </w:p>
    <w:p w:rsidR="009B4765" w:rsidRDefault="009B4765" w:rsidP="00A311BD">
      <w:pPr>
        <w:spacing w:after="0"/>
        <w:ind w:right="49" w:firstLine="567"/>
        <w:jc w:val="both"/>
        <w:rPr>
          <w:szCs w:val="24"/>
        </w:rPr>
      </w:pPr>
      <w:r>
        <w:rPr>
          <w:szCs w:val="24"/>
        </w:rPr>
        <w:t xml:space="preserve">Higienos instituto sveikatos informacijos centro (HI SIC) duomenimis, Vilniaus rajone 2010 m. mirė 1174 gyventojų (100000 gyventojų teko 1220,3 mirusio) – šiek tiek mažiau lyginant su Lietuvos vidurkiu (100000 gyventojų teko 1281,5 mirusio). </w:t>
      </w:r>
    </w:p>
    <w:p w:rsidR="009B4765" w:rsidRDefault="009B4765" w:rsidP="00A311BD">
      <w:pPr>
        <w:spacing w:after="0"/>
        <w:ind w:right="49" w:firstLine="567"/>
        <w:jc w:val="both"/>
        <w:rPr>
          <w:szCs w:val="24"/>
        </w:rPr>
      </w:pPr>
      <w:r>
        <w:rPr>
          <w:szCs w:val="24"/>
        </w:rPr>
        <w:t xml:space="preserve">2010 m. Vilniaus rajone mirė 613 vyras </w:t>
      </w:r>
      <w:r w:rsidRPr="00FA0813">
        <w:rPr>
          <w:szCs w:val="24"/>
        </w:rPr>
        <w:t>i</w:t>
      </w:r>
      <w:r>
        <w:rPr>
          <w:szCs w:val="24"/>
        </w:rPr>
        <w:t>r 561 moterys, 100000 gyventojų teko atitinkamai 1328,5 mirusieji vyrai ir 1120,5 mirusios moterys.</w:t>
      </w:r>
    </w:p>
    <w:p w:rsidR="009B4765" w:rsidRDefault="009B4765" w:rsidP="00A311BD">
      <w:pPr>
        <w:spacing w:after="0"/>
        <w:ind w:right="49" w:firstLine="567"/>
        <w:jc w:val="both"/>
        <w:rPr>
          <w:szCs w:val="24"/>
        </w:rPr>
      </w:pPr>
      <w:r w:rsidRPr="00F670C0">
        <w:rPr>
          <w:szCs w:val="24"/>
        </w:rPr>
        <w:t>Tiksliausiai mirtingumo skirtumus tarp vyrų ir m</w:t>
      </w:r>
      <w:r>
        <w:rPr>
          <w:szCs w:val="24"/>
        </w:rPr>
        <w:t xml:space="preserve">oterų parodo </w:t>
      </w:r>
      <w:r w:rsidRPr="00F670C0">
        <w:rPr>
          <w:szCs w:val="24"/>
        </w:rPr>
        <w:t>standartizuoti mirtingumo rodikliai</w:t>
      </w:r>
      <w:r>
        <w:rPr>
          <w:szCs w:val="24"/>
        </w:rPr>
        <w:t xml:space="preserve"> (mirusiųjų skaičius 100</w:t>
      </w:r>
      <w:r w:rsidRPr="00D0023F">
        <w:rPr>
          <w:szCs w:val="24"/>
        </w:rPr>
        <w:t>000 gyventojų pagal Europos standartą</w:t>
      </w:r>
      <w:r>
        <w:rPr>
          <w:szCs w:val="24"/>
        </w:rPr>
        <w:t>, kai eliminuojamas amžiaus ir lyties faktorius</w:t>
      </w:r>
      <w:r w:rsidRPr="00D0023F">
        <w:rPr>
          <w:szCs w:val="24"/>
        </w:rPr>
        <w:t>)</w:t>
      </w:r>
      <w:r w:rsidRPr="00F670C0">
        <w:rPr>
          <w:szCs w:val="24"/>
        </w:rPr>
        <w:t>.</w:t>
      </w:r>
    </w:p>
    <w:p w:rsidR="009B4765" w:rsidRDefault="009B4765" w:rsidP="00A311BD">
      <w:pPr>
        <w:spacing w:after="0"/>
        <w:ind w:right="49" w:firstLine="567"/>
        <w:jc w:val="both"/>
        <w:rPr>
          <w:szCs w:val="24"/>
        </w:rPr>
      </w:pPr>
      <w:r>
        <w:rPr>
          <w:szCs w:val="24"/>
        </w:rPr>
        <w:t>Lyginant standartizuotą Vilniaus r. gyventojų mirtingumą pagal lytį, vyrų (1541,1/100000 gyv.) mirtingumas 2 kartus didesnis negu moterų (740,3/100000 gyv.), Lietuvoje atitinkamai 100000 gyventojų teko 1394,5 mirusieji vyrai ir 652,7 mirusios moterys.</w:t>
      </w:r>
    </w:p>
    <w:p w:rsidR="009B4765" w:rsidRDefault="009B4765" w:rsidP="00A311BD">
      <w:pPr>
        <w:spacing w:after="0"/>
        <w:ind w:right="49" w:firstLine="567"/>
        <w:jc w:val="both"/>
        <w:rPr>
          <w:szCs w:val="24"/>
        </w:rPr>
      </w:pPr>
      <w:r>
        <w:rPr>
          <w:szCs w:val="24"/>
        </w:rPr>
        <w:t xml:space="preserve">Kaip ir visoje Lietuvoje, Vilniaus r. gyventojų pagrindinės mirties priežastys jau daug metų išlieka nepakitusios. Pagrindinės mirties priežastys – </w:t>
      </w:r>
      <w:r w:rsidRPr="00FC50F7">
        <w:rPr>
          <w:i/>
          <w:szCs w:val="24"/>
        </w:rPr>
        <w:t>kraujotakos sistemos ligos, piktybiniai navikai ir išorinės mirties priežastys</w:t>
      </w:r>
      <w:r>
        <w:rPr>
          <w:szCs w:val="24"/>
        </w:rPr>
        <w:t xml:space="preserve"> 2010 m. sudarė 84,5 proc. visų mirties priežasčių (1 pav.).</w:t>
      </w:r>
    </w:p>
    <w:p w:rsidR="009B4765" w:rsidRDefault="009B4765" w:rsidP="00A311BD">
      <w:pPr>
        <w:spacing w:after="0"/>
        <w:ind w:right="49" w:firstLine="567"/>
        <w:jc w:val="both"/>
        <w:rPr>
          <w:szCs w:val="24"/>
        </w:rPr>
      </w:pPr>
    </w:p>
    <w:p w:rsidR="009B4765" w:rsidRDefault="009B4765" w:rsidP="00A311BD">
      <w:pPr>
        <w:spacing w:after="0"/>
        <w:ind w:right="49"/>
        <w:jc w:val="both"/>
        <w:rPr>
          <w:szCs w:val="24"/>
        </w:rPr>
      </w:pPr>
      <w:r w:rsidRPr="00BE25C5">
        <w:rPr>
          <w:szCs w:val="24"/>
          <w:lang w:val="lt-LT" w:eastAsia="lt-LT"/>
        </w:rPr>
        <w:drawing>
          <wp:inline distT="0" distB="0" distL="0" distR="0">
            <wp:extent cx="6119421" cy="2466753"/>
            <wp:effectExtent l="19050" t="0" r="14679"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B4765" w:rsidRPr="003A6DD4" w:rsidRDefault="009B4765" w:rsidP="00A311BD">
      <w:pPr>
        <w:spacing w:after="0"/>
        <w:ind w:right="49"/>
        <w:jc w:val="both"/>
        <w:rPr>
          <w:b/>
          <w:sz w:val="20"/>
          <w:szCs w:val="20"/>
        </w:rPr>
      </w:pPr>
      <w:r w:rsidRPr="003A6DD4">
        <w:rPr>
          <w:b/>
          <w:sz w:val="20"/>
          <w:szCs w:val="20"/>
        </w:rPr>
        <w:t xml:space="preserve">1 pav. Vilniaus </w:t>
      </w:r>
      <w:r>
        <w:rPr>
          <w:b/>
          <w:sz w:val="20"/>
          <w:szCs w:val="20"/>
        </w:rPr>
        <w:t>rajono</w:t>
      </w:r>
      <w:r w:rsidRPr="003A6DD4">
        <w:rPr>
          <w:b/>
          <w:sz w:val="20"/>
          <w:szCs w:val="20"/>
        </w:rPr>
        <w:t xml:space="preserve"> gyventojų mirties priežasčių struktūra 2010 m. (proc.)</w:t>
      </w:r>
    </w:p>
    <w:p w:rsidR="009B4765" w:rsidRDefault="009B4765" w:rsidP="00A311BD">
      <w:pPr>
        <w:spacing w:after="0"/>
        <w:ind w:right="49"/>
        <w:jc w:val="both"/>
        <w:rPr>
          <w:i/>
          <w:szCs w:val="24"/>
        </w:rPr>
      </w:pPr>
    </w:p>
    <w:p w:rsidR="009B4765" w:rsidRDefault="009B4765" w:rsidP="00A311BD">
      <w:pPr>
        <w:spacing w:after="0"/>
        <w:ind w:right="49" w:firstLine="567"/>
        <w:jc w:val="both"/>
        <w:rPr>
          <w:szCs w:val="24"/>
        </w:rPr>
      </w:pPr>
      <w:r w:rsidRPr="00EB0380">
        <w:rPr>
          <w:b/>
          <w:szCs w:val="24"/>
        </w:rPr>
        <w:t>Kraujotakos sistemos ligos</w:t>
      </w:r>
      <w:r>
        <w:rPr>
          <w:szCs w:val="24"/>
        </w:rPr>
        <w:t xml:space="preserve"> yra dažniausia Lietuvos gyventojų mirties priežastis. Tokia pati situacija stebima ir Vilniaus rajone. 2010 m. nuo kraujotakos sistemos ligų mirė 608 šio rajono gyventojai (51,8 proc. visų mirusiųjų), tai sudarė 632 mirusiųjų 100000 gyventojų (Lietuvoje 718,8/100000 gyv.).</w:t>
      </w:r>
    </w:p>
    <w:p w:rsidR="009B4765" w:rsidRDefault="009B4765" w:rsidP="00A311BD">
      <w:pPr>
        <w:spacing w:after="0"/>
        <w:ind w:right="49" w:firstLine="567"/>
        <w:jc w:val="both"/>
        <w:rPr>
          <w:szCs w:val="24"/>
        </w:rPr>
      </w:pPr>
      <w:r>
        <w:rPr>
          <w:szCs w:val="24"/>
        </w:rPr>
        <w:t>Daugiausiai Vilniaus r. gyventojų (81,9 proc.), mirusių nuo kraujotakos sistemos ligų buvo 65 m. amžiaus ir vyresni. Šioje amžiaus grupėje kraujotakos sistemos ligos sudarė 64,6 proc. jų mirtingumo. 45-64 m. amžiaus grupėje nuo kraujotakos sistemos ligų mirė 17,3 proc. Vilniaus r. gyventojų. Šioje amžiaus grupėje mirtys nuo kraujotakos sistemos ligų sudarė 35 proc.</w:t>
      </w:r>
    </w:p>
    <w:p w:rsidR="009B4765" w:rsidRDefault="009B4765" w:rsidP="00A311BD">
      <w:pPr>
        <w:spacing w:after="0"/>
        <w:ind w:right="49" w:firstLine="567"/>
        <w:jc w:val="both"/>
        <w:rPr>
          <w:szCs w:val="24"/>
        </w:rPr>
      </w:pPr>
      <w:r>
        <w:rPr>
          <w:szCs w:val="24"/>
        </w:rPr>
        <w:t>2010 m. duomenimis, standartizuotas Vilniaus r. vyrų (710,9/100000 gyv.) mirtingumas nuo kraujotakos sistemos ligų didesnis negu moterų (436,6/100000 gyv.).</w:t>
      </w:r>
    </w:p>
    <w:p w:rsidR="009B4765" w:rsidRDefault="009B4765" w:rsidP="00A311BD">
      <w:pPr>
        <w:spacing w:after="0"/>
        <w:ind w:right="49" w:firstLine="567"/>
        <w:jc w:val="both"/>
        <w:rPr>
          <w:szCs w:val="24"/>
        </w:rPr>
      </w:pPr>
      <w:r>
        <w:rPr>
          <w:szCs w:val="24"/>
        </w:rPr>
        <w:t xml:space="preserve">Kraujotakos sistemos ligų struktūroje mirtys nuo </w:t>
      </w:r>
      <w:r>
        <w:rPr>
          <w:i/>
          <w:szCs w:val="24"/>
        </w:rPr>
        <w:t>išeminių</w:t>
      </w:r>
      <w:r w:rsidRPr="00FC50F7">
        <w:rPr>
          <w:i/>
          <w:szCs w:val="24"/>
        </w:rPr>
        <w:t xml:space="preserve"> širdies lig</w:t>
      </w:r>
      <w:r>
        <w:rPr>
          <w:i/>
          <w:szCs w:val="24"/>
        </w:rPr>
        <w:t>ų (tarp jų nuo miokardo infarkto)</w:t>
      </w:r>
      <w:r>
        <w:rPr>
          <w:szCs w:val="24"/>
        </w:rPr>
        <w:t xml:space="preserve"> Vilniaus rajone sudarė didžiausią dalį – 60,4 proc., antroje vietoje – mirtys nuo </w:t>
      </w:r>
      <w:r>
        <w:rPr>
          <w:i/>
          <w:szCs w:val="24"/>
        </w:rPr>
        <w:t>cerebrovaskulinių</w:t>
      </w:r>
      <w:r w:rsidRPr="00FC50F7">
        <w:rPr>
          <w:i/>
          <w:szCs w:val="24"/>
        </w:rPr>
        <w:t xml:space="preserve"> lig</w:t>
      </w:r>
      <w:r>
        <w:rPr>
          <w:i/>
          <w:szCs w:val="24"/>
        </w:rPr>
        <w:t>ų (tarp jų nuo insulto)</w:t>
      </w:r>
      <w:r>
        <w:rPr>
          <w:szCs w:val="24"/>
        </w:rPr>
        <w:t>, jos sudarė 29,3 proc.</w:t>
      </w:r>
    </w:p>
    <w:p w:rsidR="009B4765" w:rsidRDefault="009B4765" w:rsidP="00A311BD">
      <w:pPr>
        <w:spacing w:after="0"/>
        <w:ind w:right="49" w:firstLine="567"/>
        <w:jc w:val="both"/>
        <w:rPr>
          <w:szCs w:val="24"/>
        </w:rPr>
      </w:pPr>
      <w:r>
        <w:rPr>
          <w:szCs w:val="24"/>
        </w:rPr>
        <w:t xml:space="preserve">2010 m. Vilniaus rajone mirtys nuo </w:t>
      </w:r>
      <w:r w:rsidRPr="00EB0380">
        <w:rPr>
          <w:b/>
          <w:szCs w:val="24"/>
        </w:rPr>
        <w:t>piktybinių navikų</w:t>
      </w:r>
      <w:r>
        <w:rPr>
          <w:szCs w:val="24"/>
        </w:rPr>
        <w:t xml:space="preserve"> sudarė 19,5 proc. visų mirčių (Lietuvoje – 19,6 proc.), 100000 šio rajono gyventojų teko 231,8 mirusieji (Lietuvoje – </w:t>
      </w:r>
      <w:r>
        <w:rPr>
          <w:szCs w:val="24"/>
        </w:rPr>
        <w:lastRenderedPageBreak/>
        <w:t>251,2/100000 gyv.). Lyginant su Vilniaus apskritimi (179/100000 gyv.), Vilniaus rajone standartizuotas mirtingumas nuo piktybinių navikų 2010 m. buvo didesnis – 100000 gyv. teko 207,5 mirusieji.</w:t>
      </w:r>
    </w:p>
    <w:p w:rsidR="009B4765" w:rsidRDefault="009B4765" w:rsidP="00A311BD">
      <w:pPr>
        <w:spacing w:after="0"/>
        <w:ind w:right="49" w:firstLine="567"/>
        <w:jc w:val="both"/>
        <w:rPr>
          <w:szCs w:val="24"/>
        </w:rPr>
      </w:pPr>
      <w:r>
        <w:rPr>
          <w:szCs w:val="24"/>
        </w:rPr>
        <w:t>Analizuojant standartizuotą mirtingumą nuo piktybinių navikų pagal lytį Vilniaus r. 100000 vyrų teko 315,5 mirusieji (Lietuvoje – 290,2/100000 vyrų), tuo tarpu moterų 2,2 karto mažiau – 142,5/100000 moterų (Lietuvoje – 128,4/100000 moterų).</w:t>
      </w:r>
    </w:p>
    <w:p w:rsidR="009B4765" w:rsidRDefault="009B4765" w:rsidP="00A311BD">
      <w:pPr>
        <w:spacing w:after="0"/>
        <w:ind w:right="49" w:firstLine="567"/>
        <w:jc w:val="both"/>
        <w:rPr>
          <w:szCs w:val="24"/>
        </w:rPr>
      </w:pPr>
      <w:r>
        <w:rPr>
          <w:szCs w:val="24"/>
        </w:rPr>
        <w:t xml:space="preserve">Vilniaus rajone kaip ir visoje šalyje daugiausiai vyrų mirė nuo </w:t>
      </w:r>
      <w:r>
        <w:rPr>
          <w:i/>
          <w:szCs w:val="24"/>
        </w:rPr>
        <w:t xml:space="preserve">bronchų ir plaučių </w:t>
      </w:r>
      <w:r w:rsidRPr="009A661C">
        <w:rPr>
          <w:i/>
          <w:szCs w:val="24"/>
        </w:rPr>
        <w:t>piktybinių navikų</w:t>
      </w:r>
      <w:r>
        <w:rPr>
          <w:szCs w:val="24"/>
        </w:rPr>
        <w:t xml:space="preserve">, tuo tarpu moterų – nuo </w:t>
      </w:r>
      <w:r w:rsidRPr="009F0C4B">
        <w:rPr>
          <w:i/>
          <w:szCs w:val="24"/>
        </w:rPr>
        <w:t>krūties piktybinių navikų</w:t>
      </w:r>
      <w:r>
        <w:rPr>
          <w:szCs w:val="24"/>
        </w:rPr>
        <w:t xml:space="preserve"> (1 lentelė).</w:t>
      </w:r>
    </w:p>
    <w:p w:rsidR="00ED5237" w:rsidRDefault="00ED5237" w:rsidP="00A311BD">
      <w:pPr>
        <w:spacing w:after="0"/>
        <w:ind w:right="49" w:firstLine="567"/>
        <w:jc w:val="both"/>
        <w:rPr>
          <w:szCs w:val="24"/>
        </w:rPr>
      </w:pPr>
    </w:p>
    <w:p w:rsidR="009B4765" w:rsidRPr="003A6DD4" w:rsidRDefault="009B4765" w:rsidP="00A311BD">
      <w:pPr>
        <w:spacing w:after="0"/>
        <w:ind w:right="49"/>
        <w:jc w:val="both"/>
        <w:rPr>
          <w:b/>
          <w:sz w:val="20"/>
          <w:szCs w:val="20"/>
        </w:rPr>
      </w:pPr>
      <w:r w:rsidRPr="003A6DD4">
        <w:rPr>
          <w:b/>
          <w:sz w:val="20"/>
          <w:szCs w:val="20"/>
        </w:rPr>
        <w:t xml:space="preserve">1 lentelė. Vilniaus </w:t>
      </w:r>
      <w:r>
        <w:rPr>
          <w:b/>
          <w:sz w:val="20"/>
          <w:szCs w:val="20"/>
        </w:rPr>
        <w:t>rajono</w:t>
      </w:r>
      <w:r w:rsidRPr="003A6DD4">
        <w:rPr>
          <w:b/>
          <w:sz w:val="20"/>
          <w:szCs w:val="20"/>
        </w:rPr>
        <w:t xml:space="preserve"> vyrų ir moterų pagrindinės mirties nuo piktybinių navikų priežastys</w:t>
      </w:r>
    </w:p>
    <w:tbl>
      <w:tblPr>
        <w:tblStyle w:val="LightShading"/>
        <w:tblW w:w="9747" w:type="dxa"/>
        <w:tblBorders>
          <w:top w:val="none" w:sz="0" w:space="0" w:color="auto"/>
          <w:bottom w:val="none" w:sz="0" w:space="0" w:color="auto"/>
        </w:tblBorders>
        <w:tblLayout w:type="fixed"/>
        <w:tblLook w:val="04A0"/>
      </w:tblPr>
      <w:tblGrid>
        <w:gridCol w:w="651"/>
        <w:gridCol w:w="2718"/>
        <w:gridCol w:w="1275"/>
        <w:gridCol w:w="709"/>
        <w:gridCol w:w="3119"/>
        <w:gridCol w:w="1275"/>
      </w:tblGrid>
      <w:tr w:rsidR="009B4765" w:rsidTr="00ED5237">
        <w:trPr>
          <w:cnfStyle w:val="100000000000"/>
          <w:trHeight w:val="409"/>
        </w:trPr>
        <w:tc>
          <w:tcPr>
            <w:cnfStyle w:val="001000000000"/>
            <w:tcW w:w="651" w:type="dxa"/>
            <w:vMerge w:val="restart"/>
            <w:shd w:val="clear" w:color="auto" w:fill="D9D9D9" w:themeFill="background1" w:themeFillShade="D9"/>
            <w:vAlign w:val="center"/>
          </w:tcPr>
          <w:p w:rsidR="009B4765" w:rsidRPr="00DB03A1" w:rsidRDefault="009B4765" w:rsidP="000D06F1">
            <w:pPr>
              <w:spacing w:after="0"/>
              <w:ind w:right="-274" w:hanging="284"/>
              <w:jc w:val="center"/>
              <w:rPr>
                <w:rFonts w:cs="Times New Roman"/>
                <w:sz w:val="24"/>
                <w:szCs w:val="24"/>
              </w:rPr>
            </w:pPr>
            <w:r w:rsidRPr="00DB03A1">
              <w:rPr>
                <w:rFonts w:cs="Times New Roman"/>
                <w:sz w:val="24"/>
                <w:szCs w:val="24"/>
              </w:rPr>
              <w:t>Nr.</w:t>
            </w:r>
          </w:p>
        </w:tc>
        <w:tc>
          <w:tcPr>
            <w:tcW w:w="2718" w:type="dxa"/>
            <w:shd w:val="clear" w:color="auto" w:fill="D9D9D9" w:themeFill="background1" w:themeFillShade="D9"/>
            <w:vAlign w:val="center"/>
          </w:tcPr>
          <w:p w:rsidR="009B4765" w:rsidRPr="00DB03A1" w:rsidRDefault="009B4765" w:rsidP="00ED5237">
            <w:pPr>
              <w:spacing w:after="0"/>
              <w:ind w:right="51" w:hanging="250"/>
              <w:jc w:val="center"/>
              <w:cnfStyle w:val="100000000000"/>
              <w:rPr>
                <w:rFonts w:cs="Times New Roman"/>
                <w:sz w:val="24"/>
                <w:szCs w:val="24"/>
              </w:rPr>
            </w:pPr>
            <w:r>
              <w:rPr>
                <w:rFonts w:cs="Times New Roman"/>
                <w:sz w:val="24"/>
                <w:szCs w:val="24"/>
              </w:rPr>
              <w:t>Vyrų</w:t>
            </w:r>
          </w:p>
        </w:tc>
        <w:tc>
          <w:tcPr>
            <w:tcW w:w="1275" w:type="dxa"/>
            <w:vMerge w:val="restart"/>
            <w:tcBorders>
              <w:right w:val="single" w:sz="4" w:space="0" w:color="auto"/>
            </w:tcBorders>
            <w:shd w:val="clear" w:color="auto" w:fill="D9D9D9" w:themeFill="background1" w:themeFillShade="D9"/>
            <w:vAlign w:val="center"/>
          </w:tcPr>
          <w:p w:rsidR="009B4765" w:rsidRPr="00A311BD" w:rsidRDefault="009B4765" w:rsidP="00ED5237">
            <w:pPr>
              <w:spacing w:after="0"/>
              <w:ind w:right="51" w:hanging="108"/>
              <w:jc w:val="center"/>
              <w:cnfStyle w:val="100000000000"/>
              <w:rPr>
                <w:rFonts w:cs="Times New Roman"/>
                <w:sz w:val="20"/>
                <w:szCs w:val="20"/>
              </w:rPr>
            </w:pPr>
            <w:r>
              <w:rPr>
                <w:rFonts w:cs="Times New Roman"/>
                <w:sz w:val="24"/>
                <w:szCs w:val="24"/>
              </w:rPr>
              <w:t>Rodiklis</w:t>
            </w:r>
            <w:r w:rsidR="00A311BD">
              <w:rPr>
                <w:rFonts w:cs="Times New Roman"/>
                <w:sz w:val="24"/>
                <w:szCs w:val="24"/>
              </w:rPr>
              <w:t xml:space="preserve">                            </w:t>
            </w:r>
          </w:p>
          <w:p w:rsidR="009B4765" w:rsidRPr="00DB03A1" w:rsidRDefault="000D06F1" w:rsidP="00ED5237">
            <w:pPr>
              <w:spacing w:after="0"/>
              <w:ind w:right="51" w:hanging="108"/>
              <w:jc w:val="center"/>
              <w:cnfStyle w:val="100000000000"/>
              <w:rPr>
                <w:rFonts w:cs="Times New Roman"/>
                <w:sz w:val="24"/>
                <w:szCs w:val="24"/>
              </w:rPr>
            </w:pPr>
            <w:r>
              <w:rPr>
                <w:rFonts w:cs="Times New Roman"/>
                <w:sz w:val="20"/>
                <w:szCs w:val="20"/>
              </w:rPr>
              <w:t xml:space="preserve">  </w:t>
            </w:r>
            <w:r w:rsidR="009B4765" w:rsidRPr="00A311BD">
              <w:rPr>
                <w:rFonts w:cs="Times New Roman"/>
                <w:sz w:val="20"/>
                <w:szCs w:val="20"/>
              </w:rPr>
              <w:t>100000 gyv.</w:t>
            </w:r>
          </w:p>
        </w:tc>
        <w:tc>
          <w:tcPr>
            <w:tcW w:w="709" w:type="dxa"/>
            <w:vMerge w:val="restart"/>
            <w:tcBorders>
              <w:left w:val="single" w:sz="4" w:space="0" w:color="auto"/>
            </w:tcBorders>
            <w:shd w:val="clear" w:color="auto" w:fill="D9D9D9" w:themeFill="background1" w:themeFillShade="D9"/>
            <w:vAlign w:val="center"/>
          </w:tcPr>
          <w:p w:rsidR="009B4765" w:rsidRPr="00DB03A1" w:rsidRDefault="009B4765" w:rsidP="00ED5237">
            <w:pPr>
              <w:spacing w:after="0"/>
              <w:ind w:right="-250" w:hanging="249"/>
              <w:jc w:val="center"/>
              <w:cnfStyle w:val="100000000000"/>
              <w:rPr>
                <w:rFonts w:cs="Times New Roman"/>
                <w:sz w:val="24"/>
                <w:szCs w:val="24"/>
              </w:rPr>
            </w:pPr>
            <w:r w:rsidRPr="00DB03A1">
              <w:rPr>
                <w:rFonts w:cs="Times New Roman"/>
                <w:sz w:val="24"/>
                <w:szCs w:val="24"/>
              </w:rPr>
              <w:t>Nr.</w:t>
            </w:r>
          </w:p>
        </w:tc>
        <w:tc>
          <w:tcPr>
            <w:tcW w:w="3119" w:type="dxa"/>
            <w:shd w:val="clear" w:color="auto" w:fill="D9D9D9" w:themeFill="background1" w:themeFillShade="D9"/>
            <w:vAlign w:val="center"/>
          </w:tcPr>
          <w:p w:rsidR="009B4765" w:rsidRPr="00DB03A1" w:rsidRDefault="009B4765" w:rsidP="00ED5237">
            <w:pPr>
              <w:spacing w:after="0"/>
              <w:ind w:right="51" w:hanging="249"/>
              <w:jc w:val="center"/>
              <w:cnfStyle w:val="100000000000"/>
              <w:rPr>
                <w:rFonts w:cs="Times New Roman"/>
                <w:sz w:val="24"/>
                <w:szCs w:val="24"/>
              </w:rPr>
            </w:pPr>
            <w:r>
              <w:rPr>
                <w:rFonts w:cs="Times New Roman"/>
                <w:sz w:val="24"/>
                <w:szCs w:val="24"/>
              </w:rPr>
              <w:t>Moterų</w:t>
            </w:r>
          </w:p>
        </w:tc>
        <w:tc>
          <w:tcPr>
            <w:tcW w:w="1275" w:type="dxa"/>
            <w:vMerge w:val="restart"/>
            <w:shd w:val="clear" w:color="auto" w:fill="D9D9D9" w:themeFill="background1" w:themeFillShade="D9"/>
            <w:vAlign w:val="center"/>
          </w:tcPr>
          <w:p w:rsidR="009B4765" w:rsidRPr="00A311BD" w:rsidRDefault="009B4765" w:rsidP="003F3191">
            <w:pPr>
              <w:spacing w:after="0"/>
              <w:ind w:left="175" w:right="-108" w:hanging="391"/>
              <w:jc w:val="center"/>
              <w:cnfStyle w:val="100000000000"/>
              <w:rPr>
                <w:rFonts w:cs="Times New Roman"/>
                <w:sz w:val="20"/>
                <w:szCs w:val="20"/>
              </w:rPr>
            </w:pPr>
            <w:r>
              <w:rPr>
                <w:rFonts w:cs="Times New Roman"/>
                <w:sz w:val="24"/>
                <w:szCs w:val="24"/>
              </w:rPr>
              <w:t>Rodiklis</w:t>
            </w:r>
          </w:p>
          <w:p w:rsidR="009B4765" w:rsidRPr="00DB03A1" w:rsidRDefault="000D06F1" w:rsidP="003F3191">
            <w:pPr>
              <w:spacing w:after="0"/>
              <w:ind w:left="175" w:right="-108" w:hanging="391"/>
              <w:jc w:val="center"/>
              <w:cnfStyle w:val="100000000000"/>
              <w:rPr>
                <w:rFonts w:cs="Times New Roman"/>
                <w:sz w:val="24"/>
                <w:szCs w:val="24"/>
              </w:rPr>
            </w:pPr>
            <w:r>
              <w:rPr>
                <w:rFonts w:cs="Times New Roman"/>
                <w:sz w:val="20"/>
                <w:szCs w:val="20"/>
              </w:rPr>
              <w:t xml:space="preserve">   </w:t>
            </w:r>
            <w:r w:rsidR="00A311BD">
              <w:rPr>
                <w:rFonts w:cs="Times New Roman"/>
                <w:sz w:val="20"/>
                <w:szCs w:val="20"/>
              </w:rPr>
              <w:t xml:space="preserve"> </w:t>
            </w:r>
            <w:r w:rsidR="009B4765" w:rsidRPr="00A311BD">
              <w:rPr>
                <w:rFonts w:cs="Times New Roman"/>
                <w:sz w:val="20"/>
                <w:szCs w:val="20"/>
              </w:rPr>
              <w:t>100000 gyv.</w:t>
            </w:r>
          </w:p>
        </w:tc>
      </w:tr>
      <w:tr w:rsidR="009B4765" w:rsidTr="00ED5237">
        <w:trPr>
          <w:cnfStyle w:val="000000100000"/>
          <w:trHeight w:val="408"/>
        </w:trPr>
        <w:tc>
          <w:tcPr>
            <w:cnfStyle w:val="001000000000"/>
            <w:tcW w:w="651" w:type="dxa"/>
            <w:vMerge/>
            <w:shd w:val="clear" w:color="auto" w:fill="D9D9D9" w:themeFill="background1" w:themeFillShade="D9"/>
            <w:vAlign w:val="center"/>
          </w:tcPr>
          <w:p w:rsidR="009B4765" w:rsidRPr="00DB03A1" w:rsidRDefault="009B4765" w:rsidP="000D06F1">
            <w:pPr>
              <w:spacing w:after="0"/>
              <w:ind w:right="-274" w:hanging="284"/>
              <w:jc w:val="center"/>
              <w:rPr>
                <w:rFonts w:cs="Times New Roman"/>
                <w:sz w:val="24"/>
                <w:szCs w:val="24"/>
              </w:rPr>
            </w:pPr>
          </w:p>
        </w:tc>
        <w:tc>
          <w:tcPr>
            <w:tcW w:w="2718" w:type="dxa"/>
            <w:shd w:val="clear" w:color="auto" w:fill="FFFFFF" w:themeFill="background1"/>
            <w:vAlign w:val="center"/>
          </w:tcPr>
          <w:p w:rsidR="009B4765" w:rsidRPr="00EC09D0" w:rsidRDefault="009B4765" w:rsidP="00ED5237">
            <w:pPr>
              <w:spacing w:after="0"/>
              <w:ind w:right="51" w:hanging="250"/>
              <w:jc w:val="center"/>
              <w:cnfStyle w:val="000000100000"/>
              <w:rPr>
                <w:rFonts w:cs="Times New Roman"/>
                <w:b/>
                <w:sz w:val="24"/>
                <w:szCs w:val="24"/>
              </w:rPr>
            </w:pPr>
            <w:r w:rsidRPr="00EC09D0">
              <w:rPr>
                <w:rFonts w:cs="Times New Roman"/>
                <w:b/>
                <w:sz w:val="24"/>
                <w:szCs w:val="24"/>
              </w:rPr>
              <w:t>Piktybiniai navikai</w:t>
            </w:r>
          </w:p>
        </w:tc>
        <w:tc>
          <w:tcPr>
            <w:tcW w:w="1275" w:type="dxa"/>
            <w:vMerge/>
            <w:tcBorders>
              <w:right w:val="single" w:sz="4" w:space="0" w:color="auto"/>
            </w:tcBorders>
            <w:shd w:val="clear" w:color="auto" w:fill="D9D9D9" w:themeFill="background1" w:themeFillShade="D9"/>
            <w:vAlign w:val="center"/>
          </w:tcPr>
          <w:p w:rsidR="009B4765" w:rsidRPr="00DB03A1" w:rsidRDefault="009B4765" w:rsidP="00ED5237">
            <w:pPr>
              <w:spacing w:after="0"/>
              <w:ind w:right="51" w:hanging="108"/>
              <w:jc w:val="center"/>
              <w:cnfStyle w:val="000000100000"/>
              <w:rPr>
                <w:rFonts w:cs="Times New Roman"/>
                <w:sz w:val="24"/>
                <w:szCs w:val="24"/>
              </w:rPr>
            </w:pPr>
          </w:p>
        </w:tc>
        <w:tc>
          <w:tcPr>
            <w:tcW w:w="709" w:type="dxa"/>
            <w:vMerge/>
            <w:tcBorders>
              <w:left w:val="single" w:sz="4" w:space="0" w:color="auto"/>
            </w:tcBorders>
            <w:shd w:val="clear" w:color="auto" w:fill="D9D9D9" w:themeFill="background1" w:themeFillShade="D9"/>
            <w:vAlign w:val="center"/>
          </w:tcPr>
          <w:p w:rsidR="009B4765" w:rsidRPr="00DB03A1" w:rsidRDefault="009B4765" w:rsidP="00ED5237">
            <w:pPr>
              <w:spacing w:after="0"/>
              <w:ind w:right="-250" w:hanging="249"/>
              <w:jc w:val="center"/>
              <w:cnfStyle w:val="000000100000"/>
              <w:rPr>
                <w:rFonts w:cs="Times New Roman"/>
                <w:sz w:val="24"/>
                <w:szCs w:val="24"/>
              </w:rPr>
            </w:pPr>
          </w:p>
        </w:tc>
        <w:tc>
          <w:tcPr>
            <w:tcW w:w="3119" w:type="dxa"/>
            <w:shd w:val="clear" w:color="auto" w:fill="FFFFFF" w:themeFill="background1"/>
            <w:vAlign w:val="center"/>
          </w:tcPr>
          <w:p w:rsidR="009B4765" w:rsidRDefault="009B4765" w:rsidP="00ED5237">
            <w:pPr>
              <w:spacing w:after="0"/>
              <w:ind w:right="51" w:hanging="249"/>
              <w:jc w:val="center"/>
              <w:cnfStyle w:val="000000100000"/>
              <w:rPr>
                <w:rFonts w:cs="Times New Roman"/>
                <w:sz w:val="24"/>
                <w:szCs w:val="24"/>
              </w:rPr>
            </w:pPr>
            <w:r w:rsidRPr="00EC09D0">
              <w:rPr>
                <w:rFonts w:cs="Times New Roman"/>
                <w:b/>
                <w:sz w:val="24"/>
                <w:szCs w:val="24"/>
              </w:rPr>
              <w:t>Piktybiniai navikai</w:t>
            </w:r>
          </w:p>
        </w:tc>
        <w:tc>
          <w:tcPr>
            <w:tcW w:w="1275" w:type="dxa"/>
            <w:vMerge/>
            <w:shd w:val="clear" w:color="auto" w:fill="D9D9D9" w:themeFill="background1" w:themeFillShade="D9"/>
            <w:vAlign w:val="center"/>
          </w:tcPr>
          <w:p w:rsidR="009B4765" w:rsidRPr="00DB03A1" w:rsidRDefault="009B4765" w:rsidP="003F3191">
            <w:pPr>
              <w:spacing w:after="0"/>
              <w:ind w:left="175" w:right="-108" w:hanging="391"/>
              <w:jc w:val="center"/>
              <w:cnfStyle w:val="000000100000"/>
              <w:rPr>
                <w:rFonts w:cs="Times New Roman"/>
                <w:sz w:val="24"/>
                <w:szCs w:val="24"/>
              </w:rPr>
            </w:pPr>
          </w:p>
        </w:tc>
      </w:tr>
      <w:tr w:rsidR="009B4765" w:rsidTr="00ED5237">
        <w:trPr>
          <w:trHeight w:val="465"/>
        </w:trPr>
        <w:tc>
          <w:tcPr>
            <w:cnfStyle w:val="001000000000"/>
            <w:tcW w:w="651" w:type="dxa"/>
            <w:shd w:val="clear" w:color="auto" w:fill="FFFFFF" w:themeFill="background1"/>
            <w:vAlign w:val="center"/>
          </w:tcPr>
          <w:p w:rsidR="009B4765" w:rsidRPr="00DB03A1" w:rsidRDefault="009B4765" w:rsidP="000D06F1">
            <w:pPr>
              <w:spacing w:after="0"/>
              <w:ind w:right="-274" w:hanging="284"/>
              <w:jc w:val="center"/>
              <w:rPr>
                <w:rFonts w:cs="Times New Roman"/>
                <w:sz w:val="24"/>
                <w:szCs w:val="24"/>
              </w:rPr>
            </w:pPr>
            <w:r w:rsidRPr="00DB03A1">
              <w:rPr>
                <w:rFonts w:cs="Times New Roman"/>
                <w:sz w:val="24"/>
                <w:szCs w:val="24"/>
              </w:rPr>
              <w:t>1.</w:t>
            </w:r>
          </w:p>
        </w:tc>
        <w:tc>
          <w:tcPr>
            <w:tcW w:w="2718" w:type="dxa"/>
            <w:shd w:val="clear" w:color="auto" w:fill="C6D9F1" w:themeFill="text2" w:themeFillTint="33"/>
            <w:vAlign w:val="center"/>
          </w:tcPr>
          <w:p w:rsidR="009B4765" w:rsidRDefault="009B4765" w:rsidP="00ED5237">
            <w:pPr>
              <w:spacing w:after="0"/>
              <w:ind w:right="51" w:hanging="250"/>
              <w:jc w:val="center"/>
              <w:cnfStyle w:val="000000000000"/>
              <w:rPr>
                <w:rFonts w:cs="Times New Roman"/>
                <w:sz w:val="24"/>
                <w:szCs w:val="24"/>
              </w:rPr>
            </w:pPr>
            <w:r>
              <w:rPr>
                <w:rFonts w:cs="Times New Roman"/>
                <w:sz w:val="24"/>
                <w:szCs w:val="24"/>
              </w:rPr>
              <w:t>Bronchų ir plaučių</w:t>
            </w:r>
          </w:p>
        </w:tc>
        <w:tc>
          <w:tcPr>
            <w:tcW w:w="1275" w:type="dxa"/>
            <w:tcBorders>
              <w:right w:val="single" w:sz="4" w:space="0" w:color="auto"/>
            </w:tcBorders>
            <w:shd w:val="clear" w:color="auto" w:fill="FFFFFF" w:themeFill="background1"/>
            <w:vAlign w:val="center"/>
          </w:tcPr>
          <w:p w:rsidR="009B4765" w:rsidRDefault="009B4765" w:rsidP="00ED5237">
            <w:pPr>
              <w:spacing w:after="0"/>
              <w:ind w:right="51" w:hanging="108"/>
              <w:jc w:val="center"/>
              <w:cnfStyle w:val="000000000000"/>
              <w:rPr>
                <w:rFonts w:cs="Times New Roman"/>
                <w:sz w:val="24"/>
                <w:szCs w:val="24"/>
              </w:rPr>
            </w:pPr>
            <w:r>
              <w:rPr>
                <w:rFonts w:cs="Times New Roman"/>
                <w:sz w:val="24"/>
                <w:szCs w:val="24"/>
              </w:rPr>
              <w:t>75,9</w:t>
            </w:r>
          </w:p>
        </w:tc>
        <w:tc>
          <w:tcPr>
            <w:tcW w:w="709" w:type="dxa"/>
            <w:tcBorders>
              <w:left w:val="single" w:sz="4" w:space="0" w:color="auto"/>
            </w:tcBorders>
            <w:shd w:val="clear" w:color="auto" w:fill="FFFFFF" w:themeFill="background1"/>
            <w:vAlign w:val="center"/>
          </w:tcPr>
          <w:p w:rsidR="009B4765" w:rsidRPr="001F157E" w:rsidRDefault="009B4765" w:rsidP="00ED5237">
            <w:pPr>
              <w:spacing w:after="0"/>
              <w:ind w:right="-250" w:hanging="249"/>
              <w:jc w:val="center"/>
              <w:cnfStyle w:val="000000000000"/>
              <w:rPr>
                <w:rFonts w:cs="Times New Roman"/>
                <w:b/>
                <w:sz w:val="24"/>
                <w:szCs w:val="24"/>
              </w:rPr>
            </w:pPr>
            <w:r w:rsidRPr="001F157E">
              <w:rPr>
                <w:rFonts w:cs="Times New Roman"/>
                <w:b/>
                <w:sz w:val="24"/>
                <w:szCs w:val="24"/>
              </w:rPr>
              <w:t>1.</w:t>
            </w:r>
          </w:p>
        </w:tc>
        <w:tc>
          <w:tcPr>
            <w:tcW w:w="3119" w:type="dxa"/>
            <w:shd w:val="clear" w:color="auto" w:fill="F2DBDB" w:themeFill="accent2" w:themeFillTint="33"/>
            <w:vAlign w:val="center"/>
          </w:tcPr>
          <w:p w:rsidR="009B4765" w:rsidRDefault="009B4765" w:rsidP="00ED5237">
            <w:pPr>
              <w:spacing w:after="0"/>
              <w:ind w:right="51" w:hanging="249"/>
              <w:jc w:val="center"/>
              <w:cnfStyle w:val="000000000000"/>
              <w:rPr>
                <w:rFonts w:cs="Times New Roman"/>
                <w:sz w:val="24"/>
                <w:szCs w:val="24"/>
              </w:rPr>
            </w:pPr>
            <w:r>
              <w:rPr>
                <w:rFonts w:cs="Times New Roman"/>
                <w:sz w:val="24"/>
                <w:szCs w:val="24"/>
              </w:rPr>
              <w:t>Krūties</w:t>
            </w:r>
          </w:p>
        </w:tc>
        <w:tc>
          <w:tcPr>
            <w:tcW w:w="1275" w:type="dxa"/>
            <w:shd w:val="clear" w:color="auto" w:fill="FFFFFF" w:themeFill="background1"/>
            <w:vAlign w:val="center"/>
          </w:tcPr>
          <w:p w:rsidR="009B4765" w:rsidRDefault="009B4765" w:rsidP="003F3191">
            <w:pPr>
              <w:spacing w:after="0"/>
              <w:ind w:left="175" w:right="-108" w:hanging="391"/>
              <w:jc w:val="center"/>
              <w:cnfStyle w:val="000000000000"/>
              <w:rPr>
                <w:rFonts w:cs="Times New Roman"/>
                <w:sz w:val="24"/>
                <w:szCs w:val="24"/>
              </w:rPr>
            </w:pPr>
            <w:r>
              <w:rPr>
                <w:rFonts w:cs="Times New Roman"/>
                <w:sz w:val="24"/>
                <w:szCs w:val="24"/>
              </w:rPr>
              <w:t>30</w:t>
            </w:r>
          </w:p>
        </w:tc>
      </w:tr>
      <w:tr w:rsidR="009B4765" w:rsidTr="00ED5237">
        <w:trPr>
          <w:cnfStyle w:val="000000100000"/>
          <w:trHeight w:val="465"/>
        </w:trPr>
        <w:tc>
          <w:tcPr>
            <w:cnfStyle w:val="001000000000"/>
            <w:tcW w:w="651" w:type="dxa"/>
            <w:tcBorders>
              <w:left w:val="none" w:sz="0" w:space="0" w:color="auto"/>
              <w:right w:val="none" w:sz="0" w:space="0" w:color="auto"/>
            </w:tcBorders>
            <w:shd w:val="clear" w:color="auto" w:fill="FFFFFF" w:themeFill="background1"/>
            <w:vAlign w:val="center"/>
          </w:tcPr>
          <w:p w:rsidR="009B4765" w:rsidRPr="00DB03A1" w:rsidRDefault="009B4765" w:rsidP="000D06F1">
            <w:pPr>
              <w:spacing w:after="0"/>
              <w:ind w:right="-274" w:hanging="284"/>
              <w:jc w:val="center"/>
              <w:rPr>
                <w:rFonts w:cs="Times New Roman"/>
                <w:sz w:val="24"/>
                <w:szCs w:val="24"/>
              </w:rPr>
            </w:pPr>
            <w:r w:rsidRPr="00DB03A1">
              <w:rPr>
                <w:rFonts w:cs="Times New Roman"/>
                <w:sz w:val="24"/>
                <w:szCs w:val="24"/>
              </w:rPr>
              <w:t>2.</w:t>
            </w:r>
          </w:p>
        </w:tc>
        <w:tc>
          <w:tcPr>
            <w:tcW w:w="2718" w:type="dxa"/>
            <w:tcBorders>
              <w:left w:val="none" w:sz="0" w:space="0" w:color="auto"/>
              <w:right w:val="none" w:sz="0" w:space="0" w:color="auto"/>
            </w:tcBorders>
            <w:shd w:val="clear" w:color="auto" w:fill="C6D9F1" w:themeFill="text2" w:themeFillTint="33"/>
            <w:vAlign w:val="center"/>
          </w:tcPr>
          <w:p w:rsidR="009B4765" w:rsidRDefault="009B4765" w:rsidP="00ED5237">
            <w:pPr>
              <w:spacing w:after="0"/>
              <w:ind w:right="51" w:hanging="250"/>
              <w:jc w:val="center"/>
              <w:cnfStyle w:val="000000100000"/>
              <w:rPr>
                <w:rFonts w:cs="Times New Roman"/>
                <w:sz w:val="24"/>
                <w:szCs w:val="24"/>
              </w:rPr>
            </w:pPr>
            <w:r>
              <w:rPr>
                <w:rFonts w:cs="Times New Roman"/>
                <w:sz w:val="24"/>
                <w:szCs w:val="24"/>
              </w:rPr>
              <w:t>Skrandžio</w:t>
            </w:r>
          </w:p>
        </w:tc>
        <w:tc>
          <w:tcPr>
            <w:tcW w:w="1275" w:type="dxa"/>
            <w:tcBorders>
              <w:left w:val="none" w:sz="0" w:space="0" w:color="auto"/>
              <w:right w:val="single" w:sz="4" w:space="0" w:color="auto"/>
            </w:tcBorders>
            <w:shd w:val="clear" w:color="auto" w:fill="FFFFFF" w:themeFill="background1"/>
            <w:vAlign w:val="center"/>
          </w:tcPr>
          <w:p w:rsidR="009B4765" w:rsidRDefault="009B4765" w:rsidP="00ED5237">
            <w:pPr>
              <w:spacing w:after="0"/>
              <w:ind w:right="51" w:hanging="108"/>
              <w:jc w:val="center"/>
              <w:cnfStyle w:val="000000100000"/>
              <w:rPr>
                <w:rFonts w:cs="Times New Roman"/>
                <w:sz w:val="24"/>
                <w:szCs w:val="24"/>
              </w:rPr>
            </w:pPr>
            <w:r>
              <w:rPr>
                <w:rFonts w:cs="Times New Roman"/>
                <w:sz w:val="24"/>
                <w:szCs w:val="24"/>
              </w:rPr>
              <w:t>28,2</w:t>
            </w:r>
          </w:p>
        </w:tc>
        <w:tc>
          <w:tcPr>
            <w:tcW w:w="709" w:type="dxa"/>
            <w:tcBorders>
              <w:left w:val="single" w:sz="4" w:space="0" w:color="auto"/>
              <w:right w:val="none" w:sz="0" w:space="0" w:color="auto"/>
            </w:tcBorders>
            <w:shd w:val="clear" w:color="auto" w:fill="FFFFFF" w:themeFill="background1"/>
            <w:vAlign w:val="center"/>
          </w:tcPr>
          <w:p w:rsidR="009B4765" w:rsidRPr="001F157E" w:rsidRDefault="009B4765" w:rsidP="00ED5237">
            <w:pPr>
              <w:spacing w:after="0"/>
              <w:ind w:right="-250" w:hanging="249"/>
              <w:jc w:val="center"/>
              <w:cnfStyle w:val="000000100000"/>
              <w:rPr>
                <w:rFonts w:cs="Times New Roman"/>
                <w:b/>
                <w:sz w:val="24"/>
                <w:szCs w:val="24"/>
              </w:rPr>
            </w:pPr>
            <w:r w:rsidRPr="001F157E">
              <w:rPr>
                <w:rFonts w:cs="Times New Roman"/>
                <w:b/>
                <w:sz w:val="24"/>
                <w:szCs w:val="24"/>
              </w:rPr>
              <w:t>2.</w:t>
            </w:r>
          </w:p>
        </w:tc>
        <w:tc>
          <w:tcPr>
            <w:tcW w:w="3119" w:type="dxa"/>
            <w:tcBorders>
              <w:left w:val="none" w:sz="0" w:space="0" w:color="auto"/>
              <w:right w:val="none" w:sz="0" w:space="0" w:color="auto"/>
            </w:tcBorders>
            <w:shd w:val="clear" w:color="auto" w:fill="F2DBDB" w:themeFill="accent2" w:themeFillTint="33"/>
            <w:vAlign w:val="center"/>
          </w:tcPr>
          <w:p w:rsidR="009B4765" w:rsidRDefault="009B4765" w:rsidP="00ED5237">
            <w:pPr>
              <w:spacing w:after="0"/>
              <w:ind w:right="51" w:hanging="249"/>
              <w:jc w:val="center"/>
              <w:cnfStyle w:val="000000100000"/>
              <w:rPr>
                <w:rFonts w:cs="Times New Roman"/>
                <w:sz w:val="24"/>
                <w:szCs w:val="24"/>
              </w:rPr>
            </w:pPr>
            <w:r>
              <w:rPr>
                <w:rFonts w:cs="Times New Roman"/>
                <w:sz w:val="24"/>
                <w:szCs w:val="24"/>
              </w:rPr>
              <w:t>Skrandžio</w:t>
            </w:r>
          </w:p>
        </w:tc>
        <w:tc>
          <w:tcPr>
            <w:tcW w:w="1275" w:type="dxa"/>
            <w:tcBorders>
              <w:left w:val="none" w:sz="0" w:space="0" w:color="auto"/>
              <w:right w:val="none" w:sz="0" w:space="0" w:color="auto"/>
            </w:tcBorders>
            <w:shd w:val="clear" w:color="auto" w:fill="FFFFFF" w:themeFill="background1"/>
            <w:vAlign w:val="center"/>
          </w:tcPr>
          <w:p w:rsidR="009B4765" w:rsidRDefault="009B4765" w:rsidP="003F3191">
            <w:pPr>
              <w:spacing w:after="0"/>
              <w:ind w:left="175" w:right="-108" w:hanging="391"/>
              <w:jc w:val="center"/>
              <w:cnfStyle w:val="000000100000"/>
              <w:rPr>
                <w:rFonts w:cs="Times New Roman"/>
                <w:sz w:val="24"/>
                <w:szCs w:val="24"/>
              </w:rPr>
            </w:pPr>
            <w:r>
              <w:rPr>
                <w:rFonts w:cs="Times New Roman"/>
                <w:sz w:val="24"/>
                <w:szCs w:val="24"/>
              </w:rPr>
              <w:t>26</w:t>
            </w:r>
          </w:p>
        </w:tc>
      </w:tr>
      <w:tr w:rsidR="009B4765" w:rsidTr="00ED5237">
        <w:trPr>
          <w:trHeight w:val="482"/>
        </w:trPr>
        <w:tc>
          <w:tcPr>
            <w:cnfStyle w:val="001000000000"/>
            <w:tcW w:w="651" w:type="dxa"/>
            <w:shd w:val="clear" w:color="auto" w:fill="FFFFFF" w:themeFill="background1"/>
            <w:vAlign w:val="center"/>
          </w:tcPr>
          <w:p w:rsidR="009B4765" w:rsidRPr="00DB03A1" w:rsidRDefault="009B4765" w:rsidP="000D06F1">
            <w:pPr>
              <w:spacing w:after="0"/>
              <w:ind w:right="-274" w:hanging="284"/>
              <w:jc w:val="center"/>
              <w:rPr>
                <w:rFonts w:cs="Times New Roman"/>
                <w:sz w:val="24"/>
                <w:szCs w:val="24"/>
              </w:rPr>
            </w:pPr>
            <w:r w:rsidRPr="00DB03A1">
              <w:rPr>
                <w:rFonts w:cs="Times New Roman"/>
                <w:sz w:val="24"/>
                <w:szCs w:val="24"/>
              </w:rPr>
              <w:t>3.</w:t>
            </w:r>
          </w:p>
        </w:tc>
        <w:tc>
          <w:tcPr>
            <w:tcW w:w="2718" w:type="dxa"/>
            <w:shd w:val="clear" w:color="auto" w:fill="C6D9F1" w:themeFill="text2" w:themeFillTint="33"/>
            <w:vAlign w:val="center"/>
          </w:tcPr>
          <w:p w:rsidR="009B4765" w:rsidRDefault="009B4765" w:rsidP="00ED5237">
            <w:pPr>
              <w:spacing w:after="0"/>
              <w:ind w:right="51" w:hanging="250"/>
              <w:jc w:val="center"/>
              <w:cnfStyle w:val="000000000000"/>
              <w:rPr>
                <w:rFonts w:cs="Times New Roman"/>
                <w:sz w:val="24"/>
                <w:szCs w:val="24"/>
              </w:rPr>
            </w:pPr>
            <w:r>
              <w:rPr>
                <w:rFonts w:cs="Times New Roman"/>
                <w:sz w:val="24"/>
                <w:szCs w:val="24"/>
              </w:rPr>
              <w:t>Priešinės liaukos</w:t>
            </w:r>
          </w:p>
        </w:tc>
        <w:tc>
          <w:tcPr>
            <w:tcW w:w="1275" w:type="dxa"/>
            <w:tcBorders>
              <w:right w:val="single" w:sz="4" w:space="0" w:color="auto"/>
            </w:tcBorders>
            <w:shd w:val="clear" w:color="auto" w:fill="FFFFFF" w:themeFill="background1"/>
            <w:vAlign w:val="center"/>
          </w:tcPr>
          <w:p w:rsidR="009B4765" w:rsidRDefault="009B4765" w:rsidP="00ED5237">
            <w:pPr>
              <w:spacing w:after="0"/>
              <w:ind w:right="51" w:hanging="108"/>
              <w:jc w:val="center"/>
              <w:cnfStyle w:val="000000000000"/>
              <w:rPr>
                <w:rFonts w:cs="Times New Roman"/>
                <w:sz w:val="24"/>
                <w:szCs w:val="24"/>
              </w:rPr>
            </w:pPr>
            <w:r>
              <w:rPr>
                <w:rFonts w:cs="Times New Roman"/>
                <w:sz w:val="24"/>
                <w:szCs w:val="24"/>
              </w:rPr>
              <w:t>26</w:t>
            </w:r>
          </w:p>
        </w:tc>
        <w:tc>
          <w:tcPr>
            <w:tcW w:w="709" w:type="dxa"/>
            <w:tcBorders>
              <w:left w:val="single" w:sz="4" w:space="0" w:color="auto"/>
            </w:tcBorders>
            <w:shd w:val="clear" w:color="auto" w:fill="FFFFFF" w:themeFill="background1"/>
            <w:vAlign w:val="center"/>
          </w:tcPr>
          <w:p w:rsidR="009B4765" w:rsidRPr="001F157E" w:rsidRDefault="009B4765" w:rsidP="00ED5237">
            <w:pPr>
              <w:spacing w:after="0"/>
              <w:ind w:right="-250" w:hanging="249"/>
              <w:jc w:val="center"/>
              <w:cnfStyle w:val="000000000000"/>
              <w:rPr>
                <w:rFonts w:cs="Times New Roman"/>
                <w:b/>
                <w:sz w:val="24"/>
                <w:szCs w:val="24"/>
              </w:rPr>
            </w:pPr>
            <w:r w:rsidRPr="001F157E">
              <w:rPr>
                <w:rFonts w:cs="Times New Roman"/>
                <w:b/>
                <w:sz w:val="24"/>
                <w:szCs w:val="24"/>
              </w:rPr>
              <w:t>3.</w:t>
            </w:r>
          </w:p>
        </w:tc>
        <w:tc>
          <w:tcPr>
            <w:tcW w:w="3119" w:type="dxa"/>
            <w:shd w:val="clear" w:color="auto" w:fill="F2DBDB" w:themeFill="accent2" w:themeFillTint="33"/>
            <w:vAlign w:val="center"/>
          </w:tcPr>
          <w:p w:rsidR="009B4765" w:rsidRDefault="009B4765" w:rsidP="00ED5237">
            <w:pPr>
              <w:spacing w:after="0"/>
              <w:ind w:right="51" w:hanging="249"/>
              <w:jc w:val="center"/>
              <w:cnfStyle w:val="000000000000"/>
              <w:rPr>
                <w:rFonts w:cs="Times New Roman"/>
                <w:sz w:val="24"/>
                <w:szCs w:val="24"/>
              </w:rPr>
            </w:pPr>
            <w:r>
              <w:rPr>
                <w:rFonts w:cs="Times New Roman"/>
                <w:sz w:val="24"/>
                <w:szCs w:val="24"/>
              </w:rPr>
              <w:t>Kiaušidžių ir gimdos priedų</w:t>
            </w:r>
          </w:p>
        </w:tc>
        <w:tc>
          <w:tcPr>
            <w:tcW w:w="1275" w:type="dxa"/>
            <w:shd w:val="clear" w:color="auto" w:fill="FFFFFF" w:themeFill="background1"/>
            <w:vAlign w:val="center"/>
          </w:tcPr>
          <w:p w:rsidR="009B4765" w:rsidRDefault="009B4765" w:rsidP="003F3191">
            <w:pPr>
              <w:spacing w:after="0"/>
              <w:ind w:left="175" w:right="-108" w:hanging="391"/>
              <w:jc w:val="center"/>
              <w:cnfStyle w:val="000000000000"/>
              <w:rPr>
                <w:rFonts w:cs="Times New Roman"/>
                <w:sz w:val="24"/>
                <w:szCs w:val="24"/>
              </w:rPr>
            </w:pPr>
            <w:r>
              <w:rPr>
                <w:rFonts w:cs="Times New Roman"/>
                <w:sz w:val="24"/>
                <w:szCs w:val="24"/>
              </w:rPr>
              <w:t>22</w:t>
            </w:r>
          </w:p>
        </w:tc>
      </w:tr>
      <w:tr w:rsidR="009B4765" w:rsidTr="00ED5237">
        <w:trPr>
          <w:cnfStyle w:val="000000100000"/>
          <w:trHeight w:val="482"/>
        </w:trPr>
        <w:tc>
          <w:tcPr>
            <w:cnfStyle w:val="001000000000"/>
            <w:tcW w:w="651" w:type="dxa"/>
            <w:tcBorders>
              <w:left w:val="none" w:sz="0" w:space="0" w:color="auto"/>
              <w:right w:val="none" w:sz="0" w:space="0" w:color="auto"/>
            </w:tcBorders>
            <w:shd w:val="clear" w:color="auto" w:fill="FFFFFF" w:themeFill="background1"/>
            <w:vAlign w:val="center"/>
          </w:tcPr>
          <w:p w:rsidR="009B4765" w:rsidRPr="00DB03A1" w:rsidRDefault="009B4765" w:rsidP="000D06F1">
            <w:pPr>
              <w:spacing w:after="0"/>
              <w:ind w:right="-274" w:hanging="284"/>
              <w:jc w:val="center"/>
              <w:rPr>
                <w:rFonts w:cs="Times New Roman"/>
                <w:sz w:val="24"/>
                <w:szCs w:val="24"/>
              </w:rPr>
            </w:pPr>
            <w:r w:rsidRPr="00DB03A1">
              <w:rPr>
                <w:rFonts w:cs="Times New Roman"/>
                <w:sz w:val="24"/>
                <w:szCs w:val="24"/>
              </w:rPr>
              <w:t>4.</w:t>
            </w:r>
          </w:p>
        </w:tc>
        <w:tc>
          <w:tcPr>
            <w:tcW w:w="2718" w:type="dxa"/>
            <w:tcBorders>
              <w:left w:val="none" w:sz="0" w:space="0" w:color="auto"/>
              <w:right w:val="none" w:sz="0" w:space="0" w:color="auto"/>
            </w:tcBorders>
            <w:shd w:val="clear" w:color="auto" w:fill="C6D9F1" w:themeFill="text2" w:themeFillTint="33"/>
            <w:vAlign w:val="center"/>
          </w:tcPr>
          <w:p w:rsidR="009B4765" w:rsidRDefault="009B4765" w:rsidP="00ED5237">
            <w:pPr>
              <w:spacing w:after="0"/>
              <w:ind w:right="51" w:hanging="250"/>
              <w:jc w:val="center"/>
              <w:cnfStyle w:val="000000100000"/>
              <w:rPr>
                <w:rFonts w:cs="Times New Roman"/>
                <w:sz w:val="24"/>
                <w:szCs w:val="24"/>
              </w:rPr>
            </w:pPr>
            <w:r>
              <w:rPr>
                <w:rFonts w:cs="Times New Roman"/>
                <w:sz w:val="24"/>
                <w:szCs w:val="24"/>
              </w:rPr>
              <w:t>Stemplės</w:t>
            </w:r>
          </w:p>
        </w:tc>
        <w:tc>
          <w:tcPr>
            <w:tcW w:w="1275" w:type="dxa"/>
            <w:tcBorders>
              <w:left w:val="none" w:sz="0" w:space="0" w:color="auto"/>
              <w:right w:val="single" w:sz="4" w:space="0" w:color="auto"/>
            </w:tcBorders>
            <w:shd w:val="clear" w:color="auto" w:fill="FFFFFF" w:themeFill="background1"/>
            <w:vAlign w:val="center"/>
          </w:tcPr>
          <w:p w:rsidR="009B4765" w:rsidRDefault="009B4765" w:rsidP="00ED5237">
            <w:pPr>
              <w:spacing w:after="0"/>
              <w:ind w:right="51" w:hanging="108"/>
              <w:jc w:val="center"/>
              <w:cnfStyle w:val="000000100000"/>
              <w:rPr>
                <w:rFonts w:cs="Times New Roman"/>
                <w:sz w:val="24"/>
                <w:szCs w:val="24"/>
              </w:rPr>
            </w:pPr>
            <w:r>
              <w:rPr>
                <w:rFonts w:cs="Times New Roman"/>
                <w:sz w:val="24"/>
                <w:szCs w:val="24"/>
              </w:rPr>
              <w:t>17,3</w:t>
            </w:r>
          </w:p>
        </w:tc>
        <w:tc>
          <w:tcPr>
            <w:tcW w:w="709" w:type="dxa"/>
            <w:tcBorders>
              <w:left w:val="single" w:sz="4" w:space="0" w:color="auto"/>
              <w:right w:val="none" w:sz="0" w:space="0" w:color="auto"/>
            </w:tcBorders>
            <w:shd w:val="clear" w:color="auto" w:fill="FFFFFF" w:themeFill="background1"/>
            <w:vAlign w:val="center"/>
          </w:tcPr>
          <w:p w:rsidR="009B4765" w:rsidRPr="001F157E" w:rsidRDefault="009B4765" w:rsidP="00ED5237">
            <w:pPr>
              <w:spacing w:after="0"/>
              <w:ind w:right="-250" w:hanging="249"/>
              <w:jc w:val="center"/>
              <w:cnfStyle w:val="000000100000"/>
              <w:rPr>
                <w:rFonts w:cs="Times New Roman"/>
                <w:b/>
                <w:sz w:val="24"/>
                <w:szCs w:val="24"/>
              </w:rPr>
            </w:pPr>
            <w:r w:rsidRPr="001F157E">
              <w:rPr>
                <w:rFonts w:cs="Times New Roman"/>
                <w:b/>
                <w:sz w:val="24"/>
                <w:szCs w:val="24"/>
              </w:rPr>
              <w:t>4.</w:t>
            </w:r>
          </w:p>
        </w:tc>
        <w:tc>
          <w:tcPr>
            <w:tcW w:w="3119" w:type="dxa"/>
            <w:tcBorders>
              <w:left w:val="none" w:sz="0" w:space="0" w:color="auto"/>
              <w:right w:val="none" w:sz="0" w:space="0" w:color="auto"/>
            </w:tcBorders>
            <w:shd w:val="clear" w:color="auto" w:fill="F2DBDB" w:themeFill="accent2" w:themeFillTint="33"/>
            <w:vAlign w:val="center"/>
          </w:tcPr>
          <w:p w:rsidR="009B4765" w:rsidRDefault="009B4765" w:rsidP="00ED5237">
            <w:pPr>
              <w:spacing w:after="0"/>
              <w:ind w:right="51" w:hanging="249"/>
              <w:jc w:val="center"/>
              <w:cnfStyle w:val="000000100000"/>
              <w:rPr>
                <w:rFonts w:cs="Times New Roman"/>
                <w:sz w:val="24"/>
                <w:szCs w:val="24"/>
              </w:rPr>
            </w:pPr>
            <w:r>
              <w:rPr>
                <w:rFonts w:cs="Times New Roman"/>
                <w:sz w:val="24"/>
                <w:szCs w:val="24"/>
              </w:rPr>
              <w:t>Storosios (gaubtinės) žarnos</w:t>
            </w:r>
          </w:p>
        </w:tc>
        <w:tc>
          <w:tcPr>
            <w:tcW w:w="1275" w:type="dxa"/>
            <w:tcBorders>
              <w:left w:val="none" w:sz="0" w:space="0" w:color="auto"/>
              <w:right w:val="none" w:sz="0" w:space="0" w:color="auto"/>
            </w:tcBorders>
            <w:shd w:val="clear" w:color="auto" w:fill="FFFFFF" w:themeFill="background1"/>
            <w:vAlign w:val="center"/>
          </w:tcPr>
          <w:p w:rsidR="009B4765" w:rsidRDefault="009B4765" w:rsidP="003F3191">
            <w:pPr>
              <w:spacing w:after="0"/>
              <w:ind w:left="175" w:right="-108" w:hanging="391"/>
              <w:jc w:val="center"/>
              <w:cnfStyle w:val="000000100000"/>
              <w:rPr>
                <w:rFonts w:cs="Times New Roman"/>
                <w:sz w:val="24"/>
                <w:szCs w:val="24"/>
              </w:rPr>
            </w:pPr>
            <w:r>
              <w:rPr>
                <w:rFonts w:cs="Times New Roman"/>
                <w:sz w:val="24"/>
                <w:szCs w:val="24"/>
              </w:rPr>
              <w:t>16</w:t>
            </w:r>
          </w:p>
        </w:tc>
      </w:tr>
      <w:tr w:rsidR="009B4765" w:rsidTr="00ED5237">
        <w:trPr>
          <w:trHeight w:val="465"/>
        </w:trPr>
        <w:tc>
          <w:tcPr>
            <w:cnfStyle w:val="001000000000"/>
            <w:tcW w:w="651" w:type="dxa"/>
            <w:shd w:val="clear" w:color="auto" w:fill="FFFFFF" w:themeFill="background1"/>
            <w:vAlign w:val="center"/>
          </w:tcPr>
          <w:p w:rsidR="009B4765" w:rsidRPr="00DB03A1" w:rsidRDefault="009B4765" w:rsidP="000D06F1">
            <w:pPr>
              <w:spacing w:after="0"/>
              <w:ind w:right="-274" w:hanging="284"/>
              <w:jc w:val="center"/>
              <w:rPr>
                <w:rFonts w:cs="Times New Roman"/>
                <w:sz w:val="24"/>
                <w:szCs w:val="24"/>
              </w:rPr>
            </w:pPr>
            <w:r w:rsidRPr="00DB03A1">
              <w:rPr>
                <w:rFonts w:cs="Times New Roman"/>
                <w:sz w:val="24"/>
                <w:szCs w:val="24"/>
              </w:rPr>
              <w:t>5.</w:t>
            </w:r>
          </w:p>
        </w:tc>
        <w:tc>
          <w:tcPr>
            <w:tcW w:w="2718" w:type="dxa"/>
            <w:shd w:val="clear" w:color="auto" w:fill="C6D9F1" w:themeFill="text2" w:themeFillTint="33"/>
            <w:vAlign w:val="center"/>
          </w:tcPr>
          <w:p w:rsidR="009B4765" w:rsidRDefault="009B4765" w:rsidP="00ED5237">
            <w:pPr>
              <w:spacing w:after="0"/>
              <w:ind w:right="51" w:hanging="250"/>
              <w:jc w:val="center"/>
              <w:cnfStyle w:val="000000000000"/>
              <w:rPr>
                <w:rFonts w:cs="Times New Roman"/>
                <w:sz w:val="24"/>
                <w:szCs w:val="24"/>
              </w:rPr>
            </w:pPr>
            <w:r>
              <w:rPr>
                <w:rFonts w:cs="Times New Roman"/>
                <w:sz w:val="24"/>
                <w:szCs w:val="24"/>
              </w:rPr>
              <w:t>Kasos</w:t>
            </w:r>
          </w:p>
        </w:tc>
        <w:tc>
          <w:tcPr>
            <w:tcW w:w="1275" w:type="dxa"/>
            <w:tcBorders>
              <w:right w:val="single" w:sz="4" w:space="0" w:color="auto"/>
            </w:tcBorders>
            <w:shd w:val="clear" w:color="auto" w:fill="FFFFFF" w:themeFill="background1"/>
            <w:vAlign w:val="center"/>
          </w:tcPr>
          <w:p w:rsidR="009B4765" w:rsidRDefault="009B4765" w:rsidP="00ED5237">
            <w:pPr>
              <w:spacing w:after="0"/>
              <w:ind w:right="51" w:hanging="108"/>
              <w:jc w:val="center"/>
              <w:cnfStyle w:val="000000000000"/>
              <w:rPr>
                <w:rFonts w:cs="Times New Roman"/>
                <w:sz w:val="24"/>
                <w:szCs w:val="24"/>
              </w:rPr>
            </w:pPr>
            <w:r>
              <w:rPr>
                <w:rFonts w:cs="Times New Roman"/>
                <w:sz w:val="24"/>
                <w:szCs w:val="24"/>
              </w:rPr>
              <w:t>15,1</w:t>
            </w:r>
          </w:p>
        </w:tc>
        <w:tc>
          <w:tcPr>
            <w:tcW w:w="709" w:type="dxa"/>
            <w:tcBorders>
              <w:left w:val="single" w:sz="4" w:space="0" w:color="auto"/>
            </w:tcBorders>
            <w:shd w:val="clear" w:color="auto" w:fill="FFFFFF" w:themeFill="background1"/>
            <w:vAlign w:val="center"/>
          </w:tcPr>
          <w:p w:rsidR="009B4765" w:rsidRPr="001F157E" w:rsidRDefault="009B4765" w:rsidP="00ED5237">
            <w:pPr>
              <w:spacing w:after="0"/>
              <w:ind w:right="-250" w:hanging="249"/>
              <w:jc w:val="center"/>
              <w:cnfStyle w:val="000000000000"/>
              <w:rPr>
                <w:rFonts w:cs="Times New Roman"/>
                <w:b/>
                <w:sz w:val="24"/>
                <w:szCs w:val="24"/>
              </w:rPr>
            </w:pPr>
            <w:r w:rsidRPr="001F157E">
              <w:rPr>
                <w:rFonts w:cs="Times New Roman"/>
                <w:b/>
                <w:sz w:val="24"/>
                <w:szCs w:val="24"/>
              </w:rPr>
              <w:t>5.</w:t>
            </w:r>
          </w:p>
        </w:tc>
        <w:tc>
          <w:tcPr>
            <w:tcW w:w="3119" w:type="dxa"/>
            <w:shd w:val="clear" w:color="auto" w:fill="F2DBDB" w:themeFill="accent2" w:themeFillTint="33"/>
            <w:vAlign w:val="center"/>
          </w:tcPr>
          <w:p w:rsidR="009B4765" w:rsidRDefault="009B4765" w:rsidP="00ED5237">
            <w:pPr>
              <w:spacing w:after="0"/>
              <w:ind w:right="51" w:hanging="249"/>
              <w:jc w:val="center"/>
              <w:cnfStyle w:val="000000000000"/>
              <w:rPr>
                <w:rFonts w:cs="Times New Roman"/>
                <w:sz w:val="24"/>
                <w:szCs w:val="24"/>
              </w:rPr>
            </w:pPr>
            <w:r>
              <w:rPr>
                <w:rFonts w:cs="Times New Roman"/>
                <w:sz w:val="24"/>
                <w:szCs w:val="24"/>
              </w:rPr>
              <w:t>Gimdos kaklelio</w:t>
            </w:r>
          </w:p>
        </w:tc>
        <w:tc>
          <w:tcPr>
            <w:tcW w:w="1275" w:type="dxa"/>
            <w:shd w:val="clear" w:color="auto" w:fill="FFFFFF" w:themeFill="background1"/>
            <w:vAlign w:val="center"/>
          </w:tcPr>
          <w:p w:rsidR="009B4765" w:rsidRDefault="009B4765" w:rsidP="003F3191">
            <w:pPr>
              <w:spacing w:after="0"/>
              <w:ind w:left="175" w:right="-108" w:hanging="391"/>
              <w:jc w:val="center"/>
              <w:cnfStyle w:val="000000000000"/>
              <w:rPr>
                <w:rFonts w:cs="Times New Roman"/>
                <w:sz w:val="24"/>
                <w:szCs w:val="24"/>
              </w:rPr>
            </w:pPr>
            <w:r>
              <w:rPr>
                <w:rFonts w:cs="Times New Roman"/>
                <w:sz w:val="24"/>
                <w:szCs w:val="24"/>
              </w:rPr>
              <w:t>14</w:t>
            </w:r>
          </w:p>
        </w:tc>
      </w:tr>
      <w:tr w:rsidR="009B4765" w:rsidTr="00ED5237">
        <w:trPr>
          <w:cnfStyle w:val="000000100000"/>
          <w:trHeight w:val="482"/>
        </w:trPr>
        <w:tc>
          <w:tcPr>
            <w:cnfStyle w:val="001000000000"/>
            <w:tcW w:w="651" w:type="dxa"/>
            <w:shd w:val="clear" w:color="auto" w:fill="FFFFFF" w:themeFill="background1"/>
            <w:vAlign w:val="center"/>
          </w:tcPr>
          <w:p w:rsidR="009B4765" w:rsidRPr="00DB03A1" w:rsidRDefault="009B4765" w:rsidP="000D06F1">
            <w:pPr>
              <w:spacing w:after="0"/>
              <w:ind w:right="-274" w:hanging="284"/>
              <w:jc w:val="center"/>
              <w:rPr>
                <w:rFonts w:cs="Times New Roman"/>
                <w:sz w:val="24"/>
                <w:szCs w:val="24"/>
              </w:rPr>
            </w:pPr>
            <w:r w:rsidRPr="00DB03A1">
              <w:rPr>
                <w:rFonts w:cs="Times New Roman"/>
                <w:sz w:val="24"/>
                <w:szCs w:val="24"/>
              </w:rPr>
              <w:t>6.</w:t>
            </w:r>
          </w:p>
        </w:tc>
        <w:tc>
          <w:tcPr>
            <w:tcW w:w="2718" w:type="dxa"/>
            <w:shd w:val="clear" w:color="auto" w:fill="C6D9F1" w:themeFill="text2" w:themeFillTint="33"/>
            <w:vAlign w:val="center"/>
          </w:tcPr>
          <w:p w:rsidR="009B4765" w:rsidRDefault="009B4765" w:rsidP="00ED5237">
            <w:pPr>
              <w:spacing w:after="0"/>
              <w:ind w:right="51" w:hanging="250"/>
              <w:jc w:val="center"/>
              <w:cnfStyle w:val="000000100000"/>
              <w:rPr>
                <w:rFonts w:cs="Times New Roman"/>
                <w:sz w:val="24"/>
                <w:szCs w:val="24"/>
              </w:rPr>
            </w:pPr>
            <w:r>
              <w:rPr>
                <w:rFonts w:cs="Times New Roman"/>
                <w:sz w:val="24"/>
                <w:szCs w:val="24"/>
              </w:rPr>
              <w:t>Tiesiosios žarnos</w:t>
            </w:r>
          </w:p>
        </w:tc>
        <w:tc>
          <w:tcPr>
            <w:tcW w:w="1275" w:type="dxa"/>
            <w:tcBorders>
              <w:right w:val="single" w:sz="4" w:space="0" w:color="auto"/>
            </w:tcBorders>
            <w:shd w:val="clear" w:color="auto" w:fill="FFFFFF" w:themeFill="background1"/>
            <w:vAlign w:val="center"/>
          </w:tcPr>
          <w:p w:rsidR="009B4765" w:rsidRDefault="009B4765" w:rsidP="00ED5237">
            <w:pPr>
              <w:spacing w:after="0"/>
              <w:ind w:right="51" w:hanging="108"/>
              <w:jc w:val="center"/>
              <w:cnfStyle w:val="000000100000"/>
              <w:rPr>
                <w:rFonts w:cs="Times New Roman"/>
                <w:sz w:val="24"/>
                <w:szCs w:val="24"/>
              </w:rPr>
            </w:pPr>
            <w:r>
              <w:rPr>
                <w:rFonts w:cs="Times New Roman"/>
                <w:sz w:val="24"/>
                <w:szCs w:val="24"/>
              </w:rPr>
              <w:t>8,7</w:t>
            </w:r>
          </w:p>
        </w:tc>
        <w:tc>
          <w:tcPr>
            <w:tcW w:w="709" w:type="dxa"/>
            <w:tcBorders>
              <w:left w:val="single" w:sz="4" w:space="0" w:color="auto"/>
            </w:tcBorders>
            <w:shd w:val="clear" w:color="auto" w:fill="FFFFFF" w:themeFill="background1"/>
            <w:vAlign w:val="center"/>
          </w:tcPr>
          <w:p w:rsidR="009B4765" w:rsidRPr="001F157E" w:rsidRDefault="009B4765" w:rsidP="00ED5237">
            <w:pPr>
              <w:spacing w:after="0"/>
              <w:ind w:right="-250" w:hanging="249"/>
              <w:jc w:val="center"/>
              <w:cnfStyle w:val="000000100000"/>
              <w:rPr>
                <w:rFonts w:cs="Times New Roman"/>
                <w:b/>
                <w:sz w:val="24"/>
                <w:szCs w:val="24"/>
              </w:rPr>
            </w:pPr>
            <w:r w:rsidRPr="001F157E">
              <w:rPr>
                <w:rFonts w:cs="Times New Roman"/>
                <w:b/>
                <w:sz w:val="24"/>
                <w:szCs w:val="24"/>
              </w:rPr>
              <w:t>6.</w:t>
            </w:r>
          </w:p>
        </w:tc>
        <w:tc>
          <w:tcPr>
            <w:tcW w:w="3119" w:type="dxa"/>
            <w:shd w:val="clear" w:color="auto" w:fill="F2DBDB" w:themeFill="accent2" w:themeFillTint="33"/>
            <w:vAlign w:val="center"/>
          </w:tcPr>
          <w:p w:rsidR="009B4765" w:rsidRDefault="009B4765" w:rsidP="00ED5237">
            <w:pPr>
              <w:spacing w:after="0"/>
              <w:ind w:right="51" w:hanging="249"/>
              <w:jc w:val="center"/>
              <w:cnfStyle w:val="000000100000"/>
              <w:rPr>
                <w:rFonts w:cs="Times New Roman"/>
                <w:sz w:val="24"/>
                <w:szCs w:val="24"/>
              </w:rPr>
            </w:pPr>
            <w:r>
              <w:rPr>
                <w:rFonts w:cs="Times New Roman"/>
                <w:sz w:val="24"/>
                <w:szCs w:val="24"/>
              </w:rPr>
              <w:t>Bronchų ir plaučių</w:t>
            </w:r>
          </w:p>
        </w:tc>
        <w:tc>
          <w:tcPr>
            <w:tcW w:w="1275" w:type="dxa"/>
            <w:shd w:val="clear" w:color="auto" w:fill="FFFFFF" w:themeFill="background1"/>
            <w:vAlign w:val="center"/>
          </w:tcPr>
          <w:p w:rsidR="009B4765" w:rsidRDefault="009B4765" w:rsidP="003F3191">
            <w:pPr>
              <w:spacing w:after="0"/>
              <w:ind w:left="175" w:right="-108" w:hanging="391"/>
              <w:jc w:val="center"/>
              <w:cnfStyle w:val="000000100000"/>
              <w:rPr>
                <w:rFonts w:cs="Times New Roman"/>
                <w:sz w:val="24"/>
                <w:szCs w:val="24"/>
              </w:rPr>
            </w:pPr>
            <w:r>
              <w:rPr>
                <w:rFonts w:cs="Times New Roman"/>
                <w:sz w:val="24"/>
                <w:szCs w:val="24"/>
              </w:rPr>
              <w:t>10</w:t>
            </w:r>
          </w:p>
        </w:tc>
      </w:tr>
    </w:tbl>
    <w:p w:rsidR="009B4765" w:rsidRDefault="009B4765" w:rsidP="00A311BD">
      <w:pPr>
        <w:spacing w:after="0"/>
        <w:ind w:right="49"/>
        <w:jc w:val="both"/>
        <w:rPr>
          <w:szCs w:val="24"/>
        </w:rPr>
      </w:pPr>
    </w:p>
    <w:p w:rsidR="009B4765" w:rsidRDefault="009B4765" w:rsidP="00A311BD">
      <w:pPr>
        <w:spacing w:after="0"/>
        <w:ind w:right="49" w:firstLine="567"/>
        <w:jc w:val="both"/>
        <w:rPr>
          <w:szCs w:val="24"/>
        </w:rPr>
      </w:pPr>
      <w:r>
        <w:rPr>
          <w:szCs w:val="24"/>
        </w:rPr>
        <w:t xml:space="preserve">Vilniaus rajone 2010 m. nuo </w:t>
      </w:r>
      <w:r w:rsidRPr="00306F12">
        <w:rPr>
          <w:b/>
          <w:szCs w:val="24"/>
        </w:rPr>
        <w:t>išorinių priežasčių</w:t>
      </w:r>
      <w:r>
        <w:rPr>
          <w:szCs w:val="24"/>
        </w:rPr>
        <w:t xml:space="preserve"> mirė 155 asmenys, mirtingumo rodiklis siekė 161,1/100000 gyv. (13,2 proc. visų mirusiųjų).</w:t>
      </w:r>
    </w:p>
    <w:p w:rsidR="009B4765" w:rsidRDefault="009B4765" w:rsidP="00A311BD">
      <w:pPr>
        <w:spacing w:after="0"/>
        <w:ind w:right="49" w:firstLine="567"/>
        <w:jc w:val="both"/>
        <w:rPr>
          <w:szCs w:val="24"/>
        </w:rPr>
      </w:pPr>
      <w:r>
        <w:rPr>
          <w:szCs w:val="24"/>
        </w:rPr>
        <w:t>Standartizuotas Vilniaus r. gyventojų mirtingumą nuo išorinių priežasčių buvo didesnis (100000 gyv. teko 151,3 mirusieji) lyginant su visos Lietuvos vidurkiu, (100000 gyv. teko 113,1 mirusysis).</w:t>
      </w:r>
    </w:p>
    <w:p w:rsidR="009B4765" w:rsidRDefault="009B4765" w:rsidP="00A311BD">
      <w:pPr>
        <w:spacing w:after="0"/>
        <w:ind w:right="49" w:firstLine="567"/>
        <w:jc w:val="both"/>
        <w:rPr>
          <w:szCs w:val="24"/>
        </w:rPr>
      </w:pPr>
      <w:r>
        <w:rPr>
          <w:i/>
          <w:szCs w:val="24"/>
        </w:rPr>
        <w:t xml:space="preserve">Savižudybės </w:t>
      </w:r>
      <w:r w:rsidRPr="0054363E">
        <w:rPr>
          <w:szCs w:val="24"/>
        </w:rPr>
        <w:t>(</w:t>
      </w:r>
      <w:r>
        <w:rPr>
          <w:szCs w:val="24"/>
        </w:rPr>
        <w:t>32,2</w:t>
      </w:r>
      <w:r w:rsidRPr="0054363E">
        <w:rPr>
          <w:szCs w:val="24"/>
        </w:rPr>
        <w:t>/100000 gyv.),</w:t>
      </w:r>
      <w:r w:rsidRPr="009A661C">
        <w:rPr>
          <w:i/>
          <w:szCs w:val="24"/>
        </w:rPr>
        <w:t xml:space="preserve"> apsinuodijimai alkoholiu</w:t>
      </w:r>
      <w:r>
        <w:rPr>
          <w:i/>
          <w:szCs w:val="24"/>
        </w:rPr>
        <w:t xml:space="preserve"> </w:t>
      </w:r>
      <w:r>
        <w:rPr>
          <w:szCs w:val="24"/>
        </w:rPr>
        <w:t>(27</w:t>
      </w:r>
      <w:r w:rsidRPr="0054363E">
        <w:rPr>
          <w:szCs w:val="24"/>
        </w:rPr>
        <w:t>/100000 gyv.)</w:t>
      </w:r>
      <w:r>
        <w:rPr>
          <w:szCs w:val="24"/>
        </w:rPr>
        <w:t xml:space="preserve"> bei </w:t>
      </w:r>
      <w:r>
        <w:rPr>
          <w:i/>
          <w:szCs w:val="24"/>
        </w:rPr>
        <w:t xml:space="preserve">mirtys dėl natūralaus šalčio poveikio </w:t>
      </w:r>
      <w:r>
        <w:rPr>
          <w:szCs w:val="24"/>
        </w:rPr>
        <w:t>(22,9</w:t>
      </w:r>
      <w:r w:rsidRPr="0054363E">
        <w:rPr>
          <w:szCs w:val="24"/>
        </w:rPr>
        <w:t>/100000 gyv.)</w:t>
      </w:r>
      <w:r w:rsidRPr="009A661C">
        <w:rPr>
          <w:i/>
          <w:szCs w:val="24"/>
        </w:rPr>
        <w:t xml:space="preserve"> </w:t>
      </w:r>
      <w:r>
        <w:rPr>
          <w:szCs w:val="24"/>
        </w:rPr>
        <w:t>– tai pagrindinės išorinių mirčių priežastys Vilniaus rajone.</w:t>
      </w:r>
    </w:p>
    <w:p w:rsidR="009B4765" w:rsidRDefault="009B4765" w:rsidP="00A311BD">
      <w:pPr>
        <w:spacing w:after="0"/>
        <w:ind w:right="49" w:firstLine="567"/>
        <w:jc w:val="both"/>
        <w:rPr>
          <w:szCs w:val="24"/>
        </w:rPr>
      </w:pPr>
      <w:r>
        <w:rPr>
          <w:szCs w:val="24"/>
        </w:rPr>
        <w:t>Vyrų mirtingumas nuo išorinių priežasčių sudarė penktadalį (20,7 proc.) visų mirčių (Lietuvoje – 14,5 proc.), 100000 vyrų teko 275,2 mirusieji (Lietuvoje – 204,6/100 tūkst. vyrų).</w:t>
      </w:r>
    </w:p>
    <w:p w:rsidR="009B4765" w:rsidRDefault="009B4765" w:rsidP="00A311BD">
      <w:pPr>
        <w:spacing w:after="0"/>
        <w:ind w:right="49" w:firstLine="567"/>
        <w:jc w:val="both"/>
        <w:rPr>
          <w:i/>
          <w:szCs w:val="24"/>
        </w:rPr>
      </w:pPr>
      <w:r>
        <w:rPr>
          <w:szCs w:val="24"/>
        </w:rPr>
        <w:t xml:space="preserve">Pagrindinės išorinių mirčių priežastys tarp vyrų buvo </w:t>
      </w:r>
      <w:r>
        <w:rPr>
          <w:i/>
          <w:szCs w:val="24"/>
        </w:rPr>
        <w:t>savižudybės</w:t>
      </w:r>
      <w:r>
        <w:rPr>
          <w:szCs w:val="24"/>
        </w:rPr>
        <w:t xml:space="preserve">, jos sudarė 23,6 proc. visų išorinės mirties priežasčių, 100000 vyrų atitinkamai teko 65 mirusieji (Lietuvoje – 54,3/100000 gyv.). </w:t>
      </w:r>
      <w:r w:rsidRPr="007D7B42">
        <w:rPr>
          <w:i/>
          <w:szCs w:val="24"/>
        </w:rPr>
        <w:t>Apsinuodijimai alkoholiu</w:t>
      </w:r>
      <w:r>
        <w:rPr>
          <w:szCs w:val="24"/>
        </w:rPr>
        <w:t xml:space="preserve"> sudarė 14,2 proc. visų išorinių mirties priežasčių bei 11,8 proc. – </w:t>
      </w:r>
      <w:r>
        <w:rPr>
          <w:i/>
          <w:szCs w:val="24"/>
        </w:rPr>
        <w:t>mirtys dėl natūralaus šalčio poveikio</w:t>
      </w:r>
      <w:r>
        <w:rPr>
          <w:szCs w:val="24"/>
        </w:rPr>
        <w:t xml:space="preserve">, 100000 vyrų atitinkamai teko 39 ir 32,5 mirusieji (Lietuvoje atitinkamai 15,9 ir 17,4). </w:t>
      </w:r>
    </w:p>
    <w:p w:rsidR="009B4765" w:rsidRDefault="009B4765" w:rsidP="00A311BD">
      <w:pPr>
        <w:spacing w:after="0"/>
        <w:ind w:right="49" w:firstLine="567"/>
        <w:jc w:val="both"/>
        <w:rPr>
          <w:szCs w:val="24"/>
        </w:rPr>
      </w:pPr>
      <w:r>
        <w:rPr>
          <w:szCs w:val="24"/>
        </w:rPr>
        <w:t>2010 m. standartizuotas Vilniaus r. vyrų mirtingumo nuo išorinių priežasčių rodiklis (269,1/10</w:t>
      </w:r>
      <w:r w:rsidR="00EA0BC5">
        <w:rPr>
          <w:szCs w:val="24"/>
        </w:rPr>
        <w:t>0000 gyv.) buvo 6 kartus</w:t>
      </w:r>
      <w:r>
        <w:rPr>
          <w:szCs w:val="24"/>
        </w:rPr>
        <w:t xml:space="preserve"> didesnis negu moterų (45,2/100000 gyv.).</w:t>
      </w:r>
    </w:p>
    <w:p w:rsidR="009B4765" w:rsidRDefault="009B4765" w:rsidP="00A311BD">
      <w:pPr>
        <w:spacing w:after="0"/>
        <w:ind w:right="49" w:firstLine="567"/>
        <w:jc w:val="both"/>
        <w:rPr>
          <w:szCs w:val="24"/>
        </w:rPr>
      </w:pPr>
      <w:r>
        <w:rPr>
          <w:szCs w:val="24"/>
        </w:rPr>
        <w:t xml:space="preserve">Išorinės mirties priežastys moterų tarpe sudarė 5 proc. visų mirčių, 100000 moterų  teko 55,9 mirusiosios (Lietuvoje – 52,3/100 tūkst. moterų). </w:t>
      </w:r>
      <w:r>
        <w:rPr>
          <w:i/>
          <w:szCs w:val="24"/>
        </w:rPr>
        <w:t xml:space="preserve">Apsinuodijimai alkoholiu </w:t>
      </w:r>
      <w:r>
        <w:rPr>
          <w:szCs w:val="24"/>
        </w:rPr>
        <w:t xml:space="preserve">– pagrindinė išorinių mirčių priežastis Vilniaus r. moterų tarpe 2010 m., jos sudarė 28,6 proc. šių mirčių, 100000 moterų teko 16 mirusiųjų (Lietuvoje – 3,8 mirusiosios). 25 proc. visų išorinių mirčių priežasčių moterų tarpe sudarė  mirtys dėl natūralaus šalčio poveikio, 100000 moterų teko 14 mirusiųjų (Lietuvoje – 7 mirusiosios). </w:t>
      </w: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0D0D60" w:rsidRPr="00E40D1D" w:rsidRDefault="000D0D60"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2F7F74">
      <w:pPr>
        <w:jc w:val="center"/>
        <w:rPr>
          <w:sz w:val="56"/>
          <w:szCs w:val="32"/>
        </w:rPr>
      </w:pPr>
      <w:r w:rsidRPr="00E40D1D">
        <w:rPr>
          <w:sz w:val="56"/>
          <w:szCs w:val="32"/>
        </w:rPr>
        <w:t>SVEIKATOS BŪKLĖ</w:t>
      </w:r>
    </w:p>
    <w:p w:rsidR="000D0D60" w:rsidRPr="00E40D1D" w:rsidRDefault="000D0D60" w:rsidP="00E40D1D">
      <w:pPr>
        <w:spacing w:after="0"/>
        <w:ind w:right="-437"/>
        <w:jc w:val="center"/>
        <w:rPr>
          <w:b/>
          <w:szCs w:val="24"/>
        </w:rPr>
      </w:pPr>
    </w:p>
    <w:p w:rsidR="004A5811" w:rsidRPr="00E40D1D" w:rsidRDefault="004A5811" w:rsidP="00E40D1D">
      <w:pPr>
        <w:spacing w:after="0"/>
        <w:ind w:right="-437"/>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2750B8" w:rsidRPr="00E40D1D" w:rsidRDefault="002750B8" w:rsidP="00E40D1D">
      <w:pPr>
        <w:spacing w:after="0"/>
        <w:ind w:right="-437"/>
        <w:jc w:val="center"/>
        <w:rPr>
          <w:b/>
          <w:szCs w:val="24"/>
        </w:rPr>
      </w:pPr>
    </w:p>
    <w:p w:rsidR="002750B8" w:rsidRPr="00E40D1D" w:rsidRDefault="002750B8"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4A5811" w:rsidRPr="00E40D1D" w:rsidRDefault="004A5811"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391F37" w:rsidRPr="00E40D1D" w:rsidRDefault="00391F37" w:rsidP="00E40D1D">
      <w:pPr>
        <w:spacing w:after="0"/>
        <w:ind w:right="-437"/>
        <w:jc w:val="center"/>
        <w:rPr>
          <w:b/>
          <w:szCs w:val="24"/>
        </w:rPr>
      </w:pPr>
    </w:p>
    <w:p w:rsidR="009B4765" w:rsidRPr="00E40D1D" w:rsidRDefault="009B4765" w:rsidP="00E40D1D">
      <w:pPr>
        <w:spacing w:after="0"/>
        <w:ind w:right="-437"/>
        <w:rPr>
          <w:b/>
          <w:szCs w:val="24"/>
        </w:rPr>
      </w:pPr>
    </w:p>
    <w:p w:rsidR="009B4765" w:rsidRPr="002343D9" w:rsidRDefault="009B4765" w:rsidP="00A311BD">
      <w:pPr>
        <w:spacing w:after="0"/>
        <w:ind w:right="49"/>
        <w:jc w:val="center"/>
        <w:rPr>
          <w:b/>
          <w:szCs w:val="24"/>
        </w:rPr>
      </w:pPr>
      <w:r>
        <w:rPr>
          <w:b/>
          <w:szCs w:val="24"/>
        </w:rPr>
        <w:lastRenderedPageBreak/>
        <w:t>Sergančių asmenų pasiskirstymo struktūra pagal ligų grupes</w:t>
      </w:r>
    </w:p>
    <w:p w:rsidR="009B4765" w:rsidRDefault="009B4765" w:rsidP="00A311BD">
      <w:pPr>
        <w:spacing w:after="0"/>
        <w:ind w:right="49" w:firstLine="567"/>
        <w:jc w:val="both"/>
        <w:rPr>
          <w:szCs w:val="24"/>
        </w:rPr>
      </w:pPr>
    </w:p>
    <w:p w:rsidR="009B4765" w:rsidRDefault="009B4765" w:rsidP="00A311BD">
      <w:pPr>
        <w:spacing w:after="0"/>
        <w:ind w:right="49" w:firstLine="567"/>
        <w:jc w:val="both"/>
        <w:rPr>
          <w:szCs w:val="24"/>
        </w:rPr>
      </w:pPr>
    </w:p>
    <w:p w:rsidR="009B4765" w:rsidRDefault="009B4765" w:rsidP="00A311BD">
      <w:pPr>
        <w:spacing w:after="0"/>
        <w:ind w:right="49" w:firstLine="567"/>
        <w:jc w:val="both"/>
        <w:rPr>
          <w:szCs w:val="24"/>
        </w:rPr>
      </w:pPr>
      <w:r>
        <w:rPr>
          <w:szCs w:val="24"/>
        </w:rPr>
        <w:t>HI SIC sergamumą Lietuvoje skaičiuoja iš Privalomojo sveikatos draudimo informacinės sistemos SVEIDRA. Nepaisant šios sistemos privalumų: personalizuotų duomenų, ypač detalios informacijos, apimančius iš esmės visus Lietuvos gyventojus, SVEIDRA, kaip ir bet kuri administracinė sistema, turi savo trūkumų: didesnę klaidų tikimybę, nes su sistema dirba daugybė žmonių; sergamumo duomenims didelę įtaką daro apmokėjimo už paslaugas bei vaistus tvarka. Taip pat svarbu suprasti, kad ši sistema apima tik ligas, užregistruotas sveikatos priežiūros įstaigose. Jei asmuo gydosi pats ir nesilanko pas gydytojus, tokios ligos neužregistruojamos ir neatsispindi sergamumo rodikliuose. Gyventojų apklausos duoda didesnius sergamumo rodiklius, bet tokiu būdu galima gauti duomenis tik apie kai kurias ligas, dažniau – simptomus; be to, reikia prisiminti, kad šie duomenys atspindi subjektyvią žmonių nuomonę apie savo sveikatą ir ligas, kas ne visada sutampa su objektyvia gydytojo nuomone.</w:t>
      </w:r>
    </w:p>
    <w:p w:rsidR="009B4765" w:rsidRDefault="009B4765" w:rsidP="00A311BD">
      <w:pPr>
        <w:spacing w:after="0"/>
        <w:ind w:right="49" w:firstLine="567"/>
        <w:jc w:val="both"/>
        <w:rPr>
          <w:szCs w:val="24"/>
        </w:rPr>
      </w:pPr>
      <w:r>
        <w:rPr>
          <w:szCs w:val="24"/>
        </w:rPr>
        <w:t xml:space="preserve">HI SIC duomenimis, paskaičiuotais iš Privalomojo sveikatos draudimo informacinės sistemos SVEIDRA, 2010 m. Vilniaus rajone buvo užregistruoti 54486 sergantys asmenys, kuriems diagnozuota bent viena liga ar susirgimas, 1000 gyventojų teko 566,3 (Lietuvoje – 666,0) sergantys asmenys, tuo tarpu 2009 m. buvo užregistruota 433,4 sergantys asmenys (Lietuvoje – 671,0/1000 gyv.). </w:t>
      </w:r>
    </w:p>
    <w:p w:rsidR="009B4765" w:rsidRDefault="009B4765" w:rsidP="00A311BD">
      <w:pPr>
        <w:spacing w:after="0"/>
        <w:ind w:right="49" w:firstLine="567"/>
        <w:jc w:val="both"/>
        <w:rPr>
          <w:szCs w:val="24"/>
        </w:rPr>
      </w:pPr>
      <w:r>
        <w:rPr>
          <w:szCs w:val="24"/>
        </w:rPr>
        <w:t>1-ame paveiksle pateikta sergančių asmenų pasiskirstymo pagal ligų grupes struktūra procentais. Pirmąsias vietas Vilniaus rajone užima ligotumas kvėpavimo, kraujotakos ir virškinimo sistemos ligomis (1 pav.).</w:t>
      </w:r>
    </w:p>
    <w:p w:rsidR="009B4765" w:rsidRDefault="009B4765" w:rsidP="009B4765">
      <w:pPr>
        <w:spacing w:after="0"/>
        <w:ind w:right="-437" w:firstLine="567"/>
        <w:jc w:val="both"/>
        <w:rPr>
          <w:szCs w:val="24"/>
        </w:rPr>
      </w:pPr>
    </w:p>
    <w:p w:rsidR="009B4765" w:rsidRDefault="009B4765" w:rsidP="00A311BD">
      <w:pPr>
        <w:spacing w:after="0"/>
        <w:ind w:right="49"/>
        <w:jc w:val="both"/>
        <w:rPr>
          <w:szCs w:val="24"/>
        </w:rPr>
      </w:pPr>
      <w:r w:rsidRPr="00B969BF">
        <w:rPr>
          <w:szCs w:val="24"/>
          <w:lang w:val="lt-LT" w:eastAsia="lt-LT"/>
        </w:rPr>
        <w:drawing>
          <wp:inline distT="0" distB="0" distL="0" distR="0">
            <wp:extent cx="6105303" cy="2923953"/>
            <wp:effectExtent l="19050" t="0" r="9747" b="0"/>
            <wp:docPr id="2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F3191" w:rsidRDefault="003F3191" w:rsidP="009B4765">
      <w:pPr>
        <w:spacing w:after="0"/>
        <w:ind w:right="-437"/>
        <w:jc w:val="both"/>
        <w:rPr>
          <w:b/>
          <w:sz w:val="20"/>
          <w:szCs w:val="20"/>
        </w:rPr>
      </w:pPr>
    </w:p>
    <w:p w:rsidR="009B4765" w:rsidRPr="003F3191" w:rsidRDefault="009B4765" w:rsidP="009B4765">
      <w:pPr>
        <w:spacing w:after="0"/>
        <w:ind w:right="-437"/>
        <w:jc w:val="both"/>
        <w:rPr>
          <w:b/>
          <w:sz w:val="20"/>
          <w:szCs w:val="20"/>
        </w:rPr>
      </w:pPr>
      <w:r w:rsidRPr="003F3191">
        <w:rPr>
          <w:b/>
          <w:sz w:val="20"/>
          <w:szCs w:val="20"/>
        </w:rPr>
        <w:t>1 pav. Sergančių asmenų pasiskirstymo pagal ligų grupes struktūra Vilniaus rajone 2010 m.</w:t>
      </w:r>
    </w:p>
    <w:p w:rsidR="00391F37" w:rsidRDefault="00391F37" w:rsidP="00E40D1D">
      <w:pPr>
        <w:spacing w:after="0"/>
        <w:ind w:right="-437"/>
        <w:jc w:val="both"/>
        <w:rPr>
          <w:i/>
          <w:szCs w:val="24"/>
        </w:rPr>
      </w:pPr>
    </w:p>
    <w:p w:rsidR="009B4765" w:rsidRPr="00E40D1D" w:rsidRDefault="009B4765" w:rsidP="00E40D1D">
      <w:pPr>
        <w:spacing w:after="0"/>
        <w:ind w:right="-437"/>
        <w:jc w:val="both"/>
        <w:rPr>
          <w:i/>
          <w:szCs w:val="24"/>
        </w:rPr>
      </w:pPr>
    </w:p>
    <w:p w:rsidR="009B4765" w:rsidRDefault="009B4765" w:rsidP="009B4765">
      <w:pPr>
        <w:rPr>
          <w:b/>
          <w:sz w:val="28"/>
          <w:szCs w:val="28"/>
        </w:rPr>
      </w:pPr>
    </w:p>
    <w:p w:rsidR="00A311BD" w:rsidRDefault="00A311BD" w:rsidP="009B4765">
      <w:pPr>
        <w:jc w:val="center"/>
        <w:rPr>
          <w:b/>
          <w:szCs w:val="24"/>
        </w:rPr>
      </w:pPr>
    </w:p>
    <w:p w:rsidR="00C724E1" w:rsidRDefault="00C724E1" w:rsidP="009B4765">
      <w:pPr>
        <w:jc w:val="center"/>
        <w:rPr>
          <w:b/>
          <w:szCs w:val="24"/>
        </w:rPr>
      </w:pPr>
    </w:p>
    <w:p w:rsidR="009B4765" w:rsidRPr="00467624" w:rsidRDefault="009B4765" w:rsidP="009B4765">
      <w:pPr>
        <w:jc w:val="center"/>
        <w:rPr>
          <w:b/>
          <w:szCs w:val="24"/>
        </w:rPr>
      </w:pPr>
      <w:r w:rsidRPr="00467624">
        <w:rPr>
          <w:b/>
          <w:szCs w:val="24"/>
        </w:rPr>
        <w:lastRenderedPageBreak/>
        <w:t>Kraujotakos sistemos ligos</w:t>
      </w:r>
      <w:r>
        <w:rPr>
          <w:b/>
          <w:szCs w:val="24"/>
        </w:rPr>
        <w:t xml:space="preserve"> </w:t>
      </w:r>
    </w:p>
    <w:p w:rsidR="009B4765" w:rsidRPr="005E4623" w:rsidRDefault="009B4765" w:rsidP="009B4765">
      <w:pPr>
        <w:autoSpaceDE w:val="0"/>
        <w:autoSpaceDN w:val="0"/>
        <w:adjustRightInd w:val="0"/>
        <w:ind w:firstLine="567"/>
        <w:jc w:val="both"/>
        <w:rPr>
          <w:szCs w:val="24"/>
        </w:rPr>
      </w:pPr>
    </w:p>
    <w:p w:rsidR="009B4765" w:rsidRDefault="009B4765" w:rsidP="009B4765">
      <w:pPr>
        <w:autoSpaceDE w:val="0"/>
        <w:autoSpaceDN w:val="0"/>
        <w:adjustRightInd w:val="0"/>
        <w:ind w:firstLine="567"/>
        <w:jc w:val="both"/>
        <w:rPr>
          <w:szCs w:val="24"/>
        </w:rPr>
      </w:pPr>
      <w:r w:rsidRPr="005E4623">
        <w:rPr>
          <w:szCs w:val="24"/>
        </w:rPr>
        <w:t xml:space="preserve">Higienos instituto Sveikatos informacijos centro </w:t>
      </w:r>
      <w:r>
        <w:rPr>
          <w:szCs w:val="24"/>
        </w:rPr>
        <w:t xml:space="preserve">(HI SIC) </w:t>
      </w:r>
      <w:r w:rsidRPr="005E4623">
        <w:rPr>
          <w:szCs w:val="24"/>
        </w:rPr>
        <w:t xml:space="preserve">duomenimis, </w:t>
      </w:r>
      <w:r>
        <w:rPr>
          <w:szCs w:val="24"/>
        </w:rPr>
        <w:t xml:space="preserve">Vilniaus rajone, kaip ir visoje Lietuvoje, stebimos </w:t>
      </w:r>
      <w:r w:rsidRPr="005E4623">
        <w:rPr>
          <w:szCs w:val="24"/>
        </w:rPr>
        <w:t>asmenų, sergančių kraujotakos sistemos ligomis, skaiči</w:t>
      </w:r>
      <w:r>
        <w:rPr>
          <w:szCs w:val="24"/>
        </w:rPr>
        <w:t>a</w:t>
      </w:r>
      <w:r w:rsidRPr="005E4623">
        <w:rPr>
          <w:szCs w:val="24"/>
        </w:rPr>
        <w:t xml:space="preserve">us </w:t>
      </w:r>
      <w:r>
        <w:rPr>
          <w:szCs w:val="24"/>
        </w:rPr>
        <w:t>didėjimo tendencijos</w:t>
      </w:r>
      <w:r w:rsidRPr="005E4623">
        <w:rPr>
          <w:szCs w:val="24"/>
        </w:rPr>
        <w:t xml:space="preserve">. Vilniaus </w:t>
      </w:r>
      <w:r>
        <w:rPr>
          <w:szCs w:val="24"/>
        </w:rPr>
        <w:t>rajone</w:t>
      </w:r>
      <w:r w:rsidRPr="005E4623">
        <w:rPr>
          <w:szCs w:val="24"/>
        </w:rPr>
        <w:t xml:space="preserve"> 2010 m. 1000 gyventojų teko </w:t>
      </w:r>
      <w:r>
        <w:rPr>
          <w:szCs w:val="24"/>
        </w:rPr>
        <w:t>139,8</w:t>
      </w:r>
      <w:r w:rsidRPr="005E4623">
        <w:rPr>
          <w:szCs w:val="24"/>
        </w:rPr>
        <w:t xml:space="preserve"> kraujotakos sistemos ligomis sergantys asmenys (Lietuvoje – 194,2/1000 gyv.), tuo </w:t>
      </w:r>
      <w:r>
        <w:rPr>
          <w:szCs w:val="24"/>
        </w:rPr>
        <w:t xml:space="preserve">tarpu 2001 m. jų buvo </w:t>
      </w:r>
      <w:r w:rsidRPr="005E4623">
        <w:rPr>
          <w:szCs w:val="24"/>
        </w:rPr>
        <w:t xml:space="preserve">mažiau – </w:t>
      </w:r>
      <w:r>
        <w:rPr>
          <w:szCs w:val="24"/>
        </w:rPr>
        <w:t>107,3</w:t>
      </w:r>
      <w:r w:rsidRPr="005E4623">
        <w:rPr>
          <w:szCs w:val="24"/>
        </w:rPr>
        <w:t xml:space="preserve">/1000 gyv. (Lietuvoje – 130,7/1000 gyv.). </w:t>
      </w:r>
      <w:r>
        <w:rPr>
          <w:szCs w:val="24"/>
        </w:rPr>
        <w:t>Vilniaus rajone</w:t>
      </w:r>
      <w:r w:rsidRPr="005E4623">
        <w:rPr>
          <w:szCs w:val="24"/>
        </w:rPr>
        <w:t xml:space="preserve"> 200</w:t>
      </w:r>
      <w:r>
        <w:rPr>
          <w:szCs w:val="24"/>
        </w:rPr>
        <w:t>1</w:t>
      </w:r>
      <w:r w:rsidRPr="005E4623">
        <w:rPr>
          <w:szCs w:val="24"/>
        </w:rPr>
        <w:t xml:space="preserve"> – 2010 m. laikotarpiu stebimas mažesnis šiomis ligomis sergančių asmenų skaičius </w:t>
      </w:r>
      <w:r>
        <w:rPr>
          <w:szCs w:val="24"/>
        </w:rPr>
        <w:t>l</w:t>
      </w:r>
      <w:r w:rsidRPr="005E4623">
        <w:rPr>
          <w:szCs w:val="24"/>
        </w:rPr>
        <w:t xml:space="preserve">yginant su Lietuvos vidurkiu </w:t>
      </w:r>
      <w:r>
        <w:rPr>
          <w:szCs w:val="24"/>
        </w:rPr>
        <w:t xml:space="preserve"> bei Vilniaus apskritimi </w:t>
      </w:r>
      <w:r w:rsidRPr="005E4623">
        <w:rPr>
          <w:szCs w:val="24"/>
        </w:rPr>
        <w:t>(1 pav.).</w:t>
      </w:r>
    </w:p>
    <w:p w:rsidR="009B4765" w:rsidRDefault="009B4765" w:rsidP="009B4765">
      <w:pPr>
        <w:autoSpaceDE w:val="0"/>
        <w:autoSpaceDN w:val="0"/>
        <w:adjustRightInd w:val="0"/>
        <w:ind w:firstLine="567"/>
        <w:jc w:val="both"/>
        <w:rPr>
          <w:szCs w:val="24"/>
        </w:rPr>
      </w:pPr>
      <w:r>
        <w:rPr>
          <w:szCs w:val="24"/>
        </w:rPr>
        <w:t>2010 m. Vilniaus rajone moterų, sergančių kraujotakos sistemos ligomis buvo užregistruota daugiau  negu vyrų: 1000 vyrų teko 106,4 (Lietuvoje – 152,2) sergantys kraujotakos sistemos ligomis, 1000 moterų – 170,7 (Lietuvoje – 230,6).</w:t>
      </w:r>
    </w:p>
    <w:p w:rsidR="009B4765" w:rsidRPr="005E4623" w:rsidRDefault="009B4765" w:rsidP="009B4765">
      <w:pPr>
        <w:autoSpaceDE w:val="0"/>
        <w:autoSpaceDN w:val="0"/>
        <w:adjustRightInd w:val="0"/>
        <w:ind w:firstLine="567"/>
        <w:jc w:val="both"/>
        <w:rPr>
          <w:szCs w:val="24"/>
        </w:rPr>
      </w:pPr>
    </w:p>
    <w:p w:rsidR="009B4765" w:rsidRPr="00F65AA2" w:rsidRDefault="009B4765" w:rsidP="009B4765">
      <w:pPr>
        <w:jc w:val="both"/>
        <w:rPr>
          <w:rFonts w:ascii="Bookman Old Style" w:hAnsi="Bookman Old Style" w:cs="TimesNewRomanPSMT"/>
          <w:szCs w:val="24"/>
        </w:rPr>
      </w:pPr>
      <w:r w:rsidRPr="00F551D8">
        <w:rPr>
          <w:rFonts w:ascii="Bookman Old Style" w:hAnsi="Bookman Old Style" w:cs="TimesNewRomanPSMT"/>
          <w:szCs w:val="24"/>
          <w:lang w:val="lt-LT" w:eastAsia="lt-LT"/>
        </w:rPr>
        <w:drawing>
          <wp:inline distT="0" distB="0" distL="0" distR="0">
            <wp:extent cx="6137201" cy="2711302"/>
            <wp:effectExtent l="19050" t="0" r="15949" b="0"/>
            <wp:docPr id="25"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B4765" w:rsidRPr="00F65AA2" w:rsidRDefault="009B4765" w:rsidP="009B4765">
      <w:pPr>
        <w:jc w:val="both"/>
        <w:rPr>
          <w:b/>
          <w:sz w:val="20"/>
          <w:szCs w:val="20"/>
        </w:rPr>
      </w:pPr>
      <w:r w:rsidRPr="00F65AA2">
        <w:rPr>
          <w:b/>
          <w:sz w:val="20"/>
          <w:szCs w:val="20"/>
        </w:rPr>
        <w:t>1 pav. Asmenų, sergančių kraujotakos sistemos ligomis, skaičiaus pokyčiai 2001 – 2010 m.</w:t>
      </w:r>
    </w:p>
    <w:p w:rsidR="009B4765" w:rsidRDefault="009B4765" w:rsidP="009B4765">
      <w:pPr>
        <w:jc w:val="both"/>
        <w:rPr>
          <w:szCs w:val="24"/>
        </w:rPr>
      </w:pPr>
    </w:p>
    <w:p w:rsidR="009B4765" w:rsidRPr="00790CB0" w:rsidRDefault="009B4765" w:rsidP="009B4765">
      <w:pPr>
        <w:autoSpaceDE w:val="0"/>
        <w:autoSpaceDN w:val="0"/>
        <w:adjustRightInd w:val="0"/>
        <w:ind w:firstLine="567"/>
        <w:jc w:val="both"/>
        <w:rPr>
          <w:szCs w:val="24"/>
        </w:rPr>
      </w:pPr>
      <w:r w:rsidRPr="00790CB0">
        <w:rPr>
          <w:szCs w:val="24"/>
        </w:rPr>
        <w:t xml:space="preserve">Kraujotakos sistemos ligos yra aktuali problema </w:t>
      </w:r>
      <w:r>
        <w:rPr>
          <w:szCs w:val="24"/>
        </w:rPr>
        <w:t>vyresnės</w:t>
      </w:r>
      <w:r w:rsidRPr="00790CB0">
        <w:rPr>
          <w:szCs w:val="24"/>
        </w:rPr>
        <w:t xml:space="preserve"> amžiaus kategorijos gyventojams.</w:t>
      </w:r>
    </w:p>
    <w:p w:rsidR="009B4765" w:rsidRDefault="009B4765" w:rsidP="009B4765">
      <w:pPr>
        <w:ind w:firstLine="567"/>
        <w:jc w:val="both"/>
        <w:rPr>
          <w:szCs w:val="24"/>
        </w:rPr>
      </w:pPr>
      <w:r w:rsidRPr="00790CB0">
        <w:rPr>
          <w:szCs w:val="24"/>
        </w:rPr>
        <w:t>Su amžiumi sergančiųjų kraujotakos sistemos ligomis skaičius ž</w:t>
      </w:r>
      <w:r>
        <w:rPr>
          <w:szCs w:val="24"/>
        </w:rPr>
        <w:t xml:space="preserve">enkliai didėja (2 pav.). 2010 metais </w:t>
      </w:r>
      <w:r w:rsidRPr="00790CB0">
        <w:rPr>
          <w:szCs w:val="24"/>
        </w:rPr>
        <w:t xml:space="preserve">Vilniaus </w:t>
      </w:r>
      <w:r>
        <w:rPr>
          <w:szCs w:val="24"/>
        </w:rPr>
        <w:t xml:space="preserve">rajono 65 m. amžiaus ir </w:t>
      </w:r>
      <w:r w:rsidRPr="00790CB0">
        <w:rPr>
          <w:szCs w:val="24"/>
        </w:rPr>
        <w:t>vyresnių gyventojų</w:t>
      </w:r>
      <w:r>
        <w:rPr>
          <w:szCs w:val="24"/>
        </w:rPr>
        <w:t>, sergančių kraujotakos sistemos ligomis, skaičius buvo 2,2 karto didesnis (478,3/1000 gyv.) negu 45-64 m. amžiaus asmenų (218/1000 gyv.).</w:t>
      </w:r>
    </w:p>
    <w:p w:rsidR="009B4765" w:rsidRDefault="009B4765" w:rsidP="009B4765">
      <w:pPr>
        <w:ind w:firstLine="567"/>
        <w:jc w:val="both"/>
        <w:rPr>
          <w:szCs w:val="24"/>
        </w:rPr>
      </w:pPr>
      <w:r>
        <w:rPr>
          <w:szCs w:val="24"/>
        </w:rPr>
        <w:t>Lyginant 2001 m. su 2010 m. stebimas sergančiųjų šiomis ligomis skaičiaus didėjimas visose Vilniaus rajono gyventojų amžiaus grupėse (2 pav.).</w:t>
      </w:r>
    </w:p>
    <w:p w:rsidR="009B4765" w:rsidRDefault="009B4765" w:rsidP="009B4765">
      <w:pPr>
        <w:ind w:firstLine="567"/>
        <w:jc w:val="both"/>
        <w:rPr>
          <w:szCs w:val="24"/>
        </w:rPr>
      </w:pPr>
    </w:p>
    <w:p w:rsidR="009B4765" w:rsidRDefault="009B4765" w:rsidP="009B4765">
      <w:pPr>
        <w:jc w:val="both"/>
        <w:rPr>
          <w:szCs w:val="24"/>
        </w:rPr>
      </w:pPr>
      <w:r w:rsidRPr="001F7EAE">
        <w:rPr>
          <w:szCs w:val="24"/>
          <w:lang w:val="lt-LT" w:eastAsia="lt-LT"/>
        </w:rPr>
        <w:lastRenderedPageBreak/>
        <w:drawing>
          <wp:inline distT="0" distB="0" distL="0" distR="0">
            <wp:extent cx="6105303" cy="2647507"/>
            <wp:effectExtent l="19050" t="0" r="9747" b="443"/>
            <wp:docPr id="2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B4765" w:rsidRPr="00467624" w:rsidRDefault="009B4765" w:rsidP="009B4765">
      <w:pPr>
        <w:jc w:val="both"/>
        <w:rPr>
          <w:b/>
          <w:sz w:val="20"/>
          <w:szCs w:val="20"/>
        </w:rPr>
      </w:pPr>
      <w:r w:rsidRPr="001F7EAE">
        <w:rPr>
          <w:b/>
          <w:sz w:val="20"/>
          <w:szCs w:val="20"/>
        </w:rPr>
        <w:t xml:space="preserve">2 pav. Asmenų, sergančių kraujotakos sistemos ligomis, skaičiaus pokyčiai </w:t>
      </w:r>
      <w:r>
        <w:rPr>
          <w:b/>
          <w:sz w:val="20"/>
          <w:szCs w:val="20"/>
        </w:rPr>
        <w:t xml:space="preserve">Vilniaus rajone </w:t>
      </w:r>
      <w:r w:rsidRPr="001F7EAE">
        <w:rPr>
          <w:b/>
          <w:sz w:val="20"/>
          <w:szCs w:val="20"/>
        </w:rPr>
        <w:t>2001 – 2010 m. pagal amžiaus grupes.</w:t>
      </w:r>
    </w:p>
    <w:p w:rsidR="009B4765" w:rsidRPr="00A0600A" w:rsidRDefault="009B4765" w:rsidP="009B4765">
      <w:pPr>
        <w:ind w:firstLine="567"/>
        <w:jc w:val="both"/>
        <w:rPr>
          <w:szCs w:val="24"/>
        </w:rPr>
      </w:pPr>
      <w:r>
        <w:rPr>
          <w:szCs w:val="24"/>
        </w:rPr>
        <w:t xml:space="preserve">Vilniaus rajone 2010 m. iš viso buvo užregistruoti 20652 susirgimai kraujotakos sistemos ligomis (Lietuvoje – 962192), 1000 gyventojų teko 214,7 atvejai (Lietuvoje – 292,7). Lyginant su 2009 metų duomenimis (Vilniaus r. – 216,5 atv./1000 gyv., Lietuvos – </w:t>
      </w:r>
      <w:r w:rsidRPr="00E35CB3">
        <w:rPr>
          <w:szCs w:val="24"/>
        </w:rPr>
        <w:t>2</w:t>
      </w:r>
      <w:r>
        <w:rPr>
          <w:szCs w:val="24"/>
        </w:rPr>
        <w:t>75/1000 gyv.</w:t>
      </w:r>
      <w:r w:rsidRPr="00E35CB3">
        <w:rPr>
          <w:szCs w:val="24"/>
        </w:rPr>
        <w:t>)</w:t>
      </w:r>
      <w:r>
        <w:rPr>
          <w:szCs w:val="24"/>
        </w:rPr>
        <w:t>, bendrasis sergamumas kraujotakos sistemos ligomis, priešingai nei Lietuvoje, šiek tiek sumažėjo</w:t>
      </w:r>
      <w:r w:rsidRPr="00E35CB3">
        <w:rPr>
          <w:szCs w:val="24"/>
        </w:rPr>
        <w:t>.</w:t>
      </w:r>
    </w:p>
    <w:p w:rsidR="009B4765" w:rsidRDefault="009B4765" w:rsidP="009B4765">
      <w:pPr>
        <w:autoSpaceDE w:val="0"/>
        <w:autoSpaceDN w:val="0"/>
        <w:adjustRightInd w:val="0"/>
        <w:ind w:firstLine="567"/>
        <w:jc w:val="both"/>
        <w:rPr>
          <w:szCs w:val="24"/>
        </w:rPr>
      </w:pPr>
      <w:r w:rsidRPr="00403649">
        <w:rPr>
          <w:szCs w:val="24"/>
        </w:rPr>
        <w:t xml:space="preserve">Kiekvienais metais tiek Lietuvoje, tiek ir Vilniaus </w:t>
      </w:r>
      <w:r>
        <w:rPr>
          <w:szCs w:val="24"/>
        </w:rPr>
        <w:t>rajone</w:t>
      </w:r>
      <w:r w:rsidRPr="00403649">
        <w:rPr>
          <w:szCs w:val="24"/>
        </w:rPr>
        <w:t xml:space="preserve"> užregistruojama vis daugiau naujų kraujotakos sistemos ligų atvejų</w:t>
      </w:r>
      <w:r>
        <w:rPr>
          <w:szCs w:val="24"/>
        </w:rPr>
        <w:t>. 2010 metais sergamumas šiomis ligomis  Vilniaus rajone siekė 40,6 naujus atvejus 1000 gyventojų  (2009 m. – 40,3).</w:t>
      </w:r>
    </w:p>
    <w:p w:rsidR="009B4765" w:rsidRDefault="009B4765" w:rsidP="009B4765">
      <w:pPr>
        <w:autoSpaceDE w:val="0"/>
        <w:autoSpaceDN w:val="0"/>
        <w:adjustRightInd w:val="0"/>
        <w:ind w:firstLine="567"/>
        <w:jc w:val="both"/>
        <w:rPr>
          <w:szCs w:val="24"/>
        </w:rPr>
      </w:pPr>
      <w:r>
        <w:rPr>
          <w:szCs w:val="24"/>
        </w:rPr>
        <w:t>2010 metais Vilniaus rajone buvo nustatyti 405 (4,2/1000 gyv.) išeminės širdies ligos atvejai, iš jos 69 (0,7/1000 gyv.) miokardo infarkto atvejai – daugiau negu 2009 m., 1000 gyventojų teko 0,4 nauji atvejai. 2010 m. 1000 gyventojų teko 6,3 nauji cerebrovaskulinių ligų atvejai, iš jų, 1,8/1000 gyv. – sergamumas insultu.</w:t>
      </w:r>
    </w:p>
    <w:p w:rsidR="009B4765" w:rsidRDefault="009B4765" w:rsidP="009B4765">
      <w:pPr>
        <w:autoSpaceDE w:val="0"/>
        <w:autoSpaceDN w:val="0"/>
        <w:adjustRightInd w:val="0"/>
        <w:ind w:firstLine="567"/>
        <w:jc w:val="both"/>
        <w:rPr>
          <w:szCs w:val="24"/>
        </w:rPr>
      </w:pPr>
      <w:r>
        <w:rPr>
          <w:szCs w:val="24"/>
        </w:rPr>
        <w:t>2010 metų duomenimis, sergančių kai kuriomis kraujotakos sistemos ligomis Vilniaus rajono gyventojų skaičius šiek tiek sumažėjo, lyginant su 2009 metais, išskyrus miokardo infarktą, kuriuo 2010 metais susirgo daugiau asmenų (1,9/1000 gyv.) nei ankstesniais metais (1,5/1000 gyv.) (3 pav.).</w:t>
      </w:r>
    </w:p>
    <w:p w:rsidR="009B4765" w:rsidRDefault="009B4765" w:rsidP="009B4765">
      <w:pPr>
        <w:autoSpaceDE w:val="0"/>
        <w:autoSpaceDN w:val="0"/>
        <w:adjustRightInd w:val="0"/>
        <w:ind w:firstLine="567"/>
        <w:jc w:val="both"/>
        <w:rPr>
          <w:szCs w:val="24"/>
        </w:rPr>
      </w:pPr>
    </w:p>
    <w:p w:rsidR="009B4765" w:rsidRDefault="009B4765" w:rsidP="009B4765">
      <w:pPr>
        <w:autoSpaceDE w:val="0"/>
        <w:autoSpaceDN w:val="0"/>
        <w:adjustRightInd w:val="0"/>
        <w:jc w:val="both"/>
        <w:rPr>
          <w:szCs w:val="24"/>
        </w:rPr>
      </w:pPr>
      <w:r w:rsidRPr="00856CD0">
        <w:rPr>
          <w:szCs w:val="24"/>
          <w:lang w:val="lt-LT" w:eastAsia="lt-LT"/>
        </w:rPr>
        <w:lastRenderedPageBreak/>
        <w:drawing>
          <wp:inline distT="0" distB="0" distL="0" distR="0">
            <wp:extent cx="6147834" cy="2743200"/>
            <wp:effectExtent l="19050" t="0" r="24366" b="0"/>
            <wp:docPr id="27"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B4765" w:rsidRPr="009B4765" w:rsidRDefault="009B4765" w:rsidP="009B4765">
      <w:pPr>
        <w:autoSpaceDE w:val="0"/>
        <w:autoSpaceDN w:val="0"/>
        <w:adjustRightInd w:val="0"/>
        <w:jc w:val="both"/>
        <w:rPr>
          <w:b/>
          <w:sz w:val="20"/>
          <w:szCs w:val="20"/>
        </w:rPr>
      </w:pPr>
      <w:r w:rsidRPr="006D57CF">
        <w:rPr>
          <w:b/>
          <w:sz w:val="20"/>
          <w:szCs w:val="20"/>
        </w:rPr>
        <w:t>3 pav. Asmenų, sergančių kai kuriomis kraujotakos sistemos ligomis, skaičius Vilniaus rajone 2009 ir 2010 metais</w:t>
      </w:r>
    </w:p>
    <w:p w:rsidR="009B4765" w:rsidRPr="00787056" w:rsidRDefault="009B4765" w:rsidP="009B4765">
      <w:pPr>
        <w:autoSpaceDE w:val="0"/>
        <w:autoSpaceDN w:val="0"/>
        <w:adjustRightInd w:val="0"/>
        <w:ind w:firstLine="567"/>
        <w:jc w:val="both"/>
        <w:rPr>
          <w:szCs w:val="24"/>
        </w:rPr>
      </w:pPr>
      <w:r>
        <w:rPr>
          <w:szCs w:val="24"/>
        </w:rPr>
        <w:t>Vilniaus rajone, 2010 metų duomenimis,</w:t>
      </w:r>
      <w:r w:rsidRPr="00DB1931">
        <w:rPr>
          <w:szCs w:val="24"/>
        </w:rPr>
        <w:t xml:space="preserve"> </w:t>
      </w:r>
      <w:r>
        <w:rPr>
          <w:szCs w:val="24"/>
        </w:rPr>
        <w:t>lyginant su kitomis ligų grupėmis, daugiausiai gyventojai sirgo hipertenzinėmis ligomis, 1000 gyventojų teko 98 sergantieji (Lietuvoje –  144,2 sergantieji).</w:t>
      </w:r>
    </w:p>
    <w:p w:rsidR="009B4765" w:rsidRPr="00DC1071" w:rsidRDefault="009B4765" w:rsidP="009B4765">
      <w:pPr>
        <w:autoSpaceDE w:val="0"/>
        <w:autoSpaceDN w:val="0"/>
        <w:adjustRightInd w:val="0"/>
        <w:ind w:firstLine="567"/>
        <w:jc w:val="both"/>
        <w:rPr>
          <w:szCs w:val="24"/>
        </w:rPr>
      </w:pPr>
      <w:r w:rsidRPr="00CE6E61">
        <w:rPr>
          <w:szCs w:val="24"/>
        </w:rPr>
        <w:t xml:space="preserve">Hipertenzinės </w:t>
      </w:r>
      <w:r w:rsidRPr="00CE6E61">
        <w:rPr>
          <w:bCs/>
          <w:szCs w:val="24"/>
        </w:rPr>
        <w:t>ligos</w:t>
      </w:r>
      <w:r w:rsidRPr="00DB1931">
        <w:rPr>
          <w:b/>
          <w:bCs/>
          <w:szCs w:val="24"/>
        </w:rPr>
        <w:t xml:space="preserve"> </w:t>
      </w:r>
      <w:r w:rsidRPr="00DB1931">
        <w:rPr>
          <w:szCs w:val="24"/>
        </w:rPr>
        <w:t>dažniausiai di</w:t>
      </w:r>
      <w:r>
        <w:rPr>
          <w:szCs w:val="24"/>
        </w:rPr>
        <w:t>agnozuojamos</w:t>
      </w:r>
      <w:r w:rsidRPr="00DB1931">
        <w:rPr>
          <w:szCs w:val="24"/>
        </w:rPr>
        <w:t xml:space="preserve"> pagyvenusių žmonių</w:t>
      </w:r>
      <w:r>
        <w:rPr>
          <w:szCs w:val="24"/>
        </w:rPr>
        <w:t xml:space="preserve"> tarpe. 2010 m. 65 m. ir vyresnių Vilniaus rajono gyventojų amžiaus grupėje šios ligos sudarė 44,5 proc. lyginant su kitomis amžiaus grupėmis, 1000 gyventojų teko 341,2 sergantieji hipertenzinėmis ligomis (Lietuvoje – 469,3 sergantieji).</w:t>
      </w:r>
    </w:p>
    <w:p w:rsidR="00A85E88" w:rsidRDefault="00A85E88" w:rsidP="00E40D1D">
      <w:pPr>
        <w:autoSpaceDE w:val="0"/>
        <w:autoSpaceDN w:val="0"/>
        <w:adjustRightInd w:val="0"/>
        <w:jc w:val="both"/>
        <w:rPr>
          <w:szCs w:val="24"/>
        </w:rPr>
      </w:pPr>
    </w:p>
    <w:p w:rsidR="009B4765" w:rsidRDefault="009B4765" w:rsidP="00E40D1D">
      <w:pPr>
        <w:autoSpaceDE w:val="0"/>
        <w:autoSpaceDN w:val="0"/>
        <w:adjustRightInd w:val="0"/>
        <w:jc w:val="both"/>
        <w:rPr>
          <w:szCs w:val="24"/>
        </w:rPr>
      </w:pPr>
    </w:p>
    <w:p w:rsidR="009B4765" w:rsidRDefault="009B4765" w:rsidP="00E40D1D">
      <w:pPr>
        <w:autoSpaceDE w:val="0"/>
        <w:autoSpaceDN w:val="0"/>
        <w:adjustRightInd w:val="0"/>
        <w:jc w:val="both"/>
        <w:rPr>
          <w:szCs w:val="24"/>
        </w:rPr>
      </w:pPr>
    </w:p>
    <w:p w:rsidR="009B4765" w:rsidRDefault="009B4765" w:rsidP="00E40D1D">
      <w:pPr>
        <w:autoSpaceDE w:val="0"/>
        <w:autoSpaceDN w:val="0"/>
        <w:adjustRightInd w:val="0"/>
        <w:jc w:val="both"/>
        <w:rPr>
          <w:szCs w:val="24"/>
        </w:rPr>
      </w:pPr>
    </w:p>
    <w:p w:rsidR="009B4765" w:rsidRPr="00E40D1D" w:rsidRDefault="009B4765" w:rsidP="00E40D1D">
      <w:pPr>
        <w:autoSpaceDE w:val="0"/>
        <w:autoSpaceDN w:val="0"/>
        <w:adjustRightInd w:val="0"/>
        <w:jc w:val="both"/>
        <w:rPr>
          <w:szCs w:val="24"/>
        </w:rPr>
      </w:pPr>
    </w:p>
    <w:p w:rsidR="00A85E88" w:rsidRPr="00E40D1D" w:rsidRDefault="00A85E88" w:rsidP="00E40D1D">
      <w:pPr>
        <w:autoSpaceDE w:val="0"/>
        <w:autoSpaceDN w:val="0"/>
        <w:adjustRightInd w:val="0"/>
        <w:jc w:val="both"/>
        <w:rPr>
          <w:szCs w:val="24"/>
        </w:rPr>
      </w:pPr>
    </w:p>
    <w:p w:rsidR="00A85E88" w:rsidRPr="00E40D1D" w:rsidRDefault="00A85E88" w:rsidP="00E40D1D">
      <w:pPr>
        <w:autoSpaceDE w:val="0"/>
        <w:autoSpaceDN w:val="0"/>
        <w:adjustRightInd w:val="0"/>
        <w:jc w:val="both"/>
        <w:rPr>
          <w:szCs w:val="24"/>
        </w:rPr>
      </w:pPr>
    </w:p>
    <w:p w:rsidR="00A85E88" w:rsidRPr="00E40D1D" w:rsidRDefault="00A85E88" w:rsidP="00E40D1D">
      <w:pPr>
        <w:autoSpaceDE w:val="0"/>
        <w:autoSpaceDN w:val="0"/>
        <w:adjustRightInd w:val="0"/>
        <w:jc w:val="both"/>
        <w:rPr>
          <w:szCs w:val="24"/>
        </w:rPr>
      </w:pPr>
    </w:p>
    <w:p w:rsidR="00733E22" w:rsidRPr="00E40D1D" w:rsidRDefault="00733E22" w:rsidP="00E40D1D">
      <w:pPr>
        <w:rPr>
          <w:sz w:val="56"/>
          <w:szCs w:val="32"/>
        </w:rPr>
      </w:pPr>
    </w:p>
    <w:p w:rsidR="00A311BD" w:rsidRDefault="00A311BD" w:rsidP="00E40D1D">
      <w:pPr>
        <w:spacing w:after="0"/>
        <w:jc w:val="center"/>
        <w:rPr>
          <w:b/>
          <w:color w:val="000000" w:themeColor="text1"/>
          <w:sz w:val="28"/>
          <w:szCs w:val="28"/>
        </w:rPr>
      </w:pPr>
    </w:p>
    <w:p w:rsidR="00A311BD" w:rsidRDefault="00A311BD" w:rsidP="00E40D1D">
      <w:pPr>
        <w:spacing w:after="0"/>
        <w:jc w:val="center"/>
        <w:rPr>
          <w:b/>
          <w:color w:val="000000" w:themeColor="text1"/>
          <w:sz w:val="28"/>
          <w:szCs w:val="28"/>
        </w:rPr>
      </w:pPr>
    </w:p>
    <w:p w:rsidR="00A311BD" w:rsidRDefault="00A311BD" w:rsidP="00E40D1D">
      <w:pPr>
        <w:spacing w:after="0"/>
        <w:jc w:val="center"/>
        <w:rPr>
          <w:b/>
          <w:color w:val="000000" w:themeColor="text1"/>
          <w:sz w:val="28"/>
          <w:szCs w:val="28"/>
        </w:rPr>
      </w:pPr>
    </w:p>
    <w:p w:rsidR="00A311BD" w:rsidRDefault="00A311BD" w:rsidP="00E40D1D">
      <w:pPr>
        <w:spacing w:after="0"/>
        <w:jc w:val="center"/>
        <w:rPr>
          <w:b/>
          <w:color w:val="000000" w:themeColor="text1"/>
          <w:sz w:val="28"/>
          <w:szCs w:val="28"/>
        </w:rPr>
      </w:pPr>
    </w:p>
    <w:p w:rsidR="00A311BD" w:rsidRPr="002A6878" w:rsidRDefault="00170CCE" w:rsidP="00A311BD">
      <w:pPr>
        <w:spacing w:after="0"/>
        <w:jc w:val="center"/>
        <w:rPr>
          <w:b/>
          <w:sz w:val="28"/>
          <w:szCs w:val="28"/>
        </w:rPr>
      </w:pPr>
      <w:r>
        <w:rPr>
          <w:b/>
          <w:sz w:val="28"/>
          <w:szCs w:val="28"/>
        </w:rPr>
        <w:lastRenderedPageBreak/>
        <w:t>Onkologiniai</w:t>
      </w:r>
      <w:r w:rsidR="000E6850">
        <w:rPr>
          <w:b/>
          <w:sz w:val="28"/>
          <w:szCs w:val="28"/>
        </w:rPr>
        <w:t xml:space="preserve"> susirgimai</w:t>
      </w:r>
    </w:p>
    <w:p w:rsidR="00A311BD" w:rsidRDefault="00A311BD" w:rsidP="00A311BD">
      <w:pPr>
        <w:spacing w:after="0"/>
        <w:jc w:val="both"/>
      </w:pPr>
    </w:p>
    <w:p w:rsidR="00A311BD" w:rsidRDefault="00A311BD" w:rsidP="00A311BD">
      <w:pPr>
        <w:spacing w:after="0"/>
        <w:jc w:val="both"/>
      </w:pPr>
      <w:r>
        <w:tab/>
        <w:t>Nors sergamumo struktūroje onkologiniai susirgimai yra ganėtinai nutolę nuo pirmojo trejetuko, tačiau mirtingumo struktūroje jie užima vieną pirmaujančių vietų ir yra viena aktualiausių visuomenės sveikatos problemų tiek mūsų šalyje, tiek ir visame pasaulyje.</w:t>
      </w:r>
    </w:p>
    <w:p w:rsidR="00A311BD" w:rsidRDefault="00A311BD" w:rsidP="00A311BD">
      <w:pPr>
        <w:spacing w:after="0"/>
        <w:jc w:val="both"/>
      </w:pPr>
      <w:r>
        <w:tab/>
        <w:t xml:space="preserve">Remiantis HI SIC duomenimis, paskaičiuotais iš Privalomojo sveikatos draudimo informacinės sistemos SVEIDRA, sergamumas onkologinėmis ligomis Lietuvoje tolygiai didėja. Ne išimtis ir Vilniaus rajonas </w:t>
      </w:r>
      <w:r w:rsidRPr="004A1AB3">
        <w:rPr>
          <w:b/>
          <w:i/>
        </w:rPr>
        <w:t>(1 pav.)</w:t>
      </w:r>
      <w:r>
        <w:t>.</w:t>
      </w:r>
    </w:p>
    <w:p w:rsidR="00A311BD" w:rsidRDefault="00A311BD" w:rsidP="00A311BD">
      <w:pPr>
        <w:spacing w:after="0"/>
        <w:jc w:val="both"/>
      </w:pPr>
      <w:r>
        <w:t xml:space="preserve"> </w:t>
      </w:r>
      <w:r w:rsidRPr="0066313F">
        <w:rPr>
          <w:lang w:val="lt-LT" w:eastAsia="lt-LT"/>
        </w:rPr>
        <w:drawing>
          <wp:inline distT="0" distB="0" distL="0" distR="0">
            <wp:extent cx="6120130" cy="3269347"/>
            <wp:effectExtent l="19050" t="0" r="13970" b="7253"/>
            <wp:docPr id="2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311BD" w:rsidRPr="0066313F" w:rsidRDefault="00A311BD" w:rsidP="00A311BD">
      <w:pPr>
        <w:spacing w:after="0"/>
        <w:jc w:val="both"/>
        <w:rPr>
          <w:i/>
        </w:rPr>
      </w:pPr>
      <w:r w:rsidRPr="0066313F">
        <w:rPr>
          <w:b/>
          <w:i/>
        </w:rPr>
        <w:t xml:space="preserve">1 pav. </w:t>
      </w:r>
      <w:r w:rsidRPr="0066313F">
        <w:rPr>
          <w:i/>
        </w:rPr>
        <w:t>Bendrasis sergamumas piktybiniais navikais Vilniaus r. ir Lietuvoje 2001 – 2010 metų laikotarpiu (rodiklis 1000 gyventojų)</w:t>
      </w:r>
    </w:p>
    <w:p w:rsidR="00A311BD" w:rsidRDefault="00A311BD" w:rsidP="00A311BD">
      <w:pPr>
        <w:spacing w:after="0"/>
      </w:pPr>
    </w:p>
    <w:p w:rsidR="00A311BD" w:rsidRDefault="00A311BD" w:rsidP="00A311BD">
      <w:pPr>
        <w:spacing w:after="0"/>
        <w:jc w:val="both"/>
      </w:pPr>
      <w:r>
        <w:tab/>
        <w:t>Iš visų ūmių ir pirmą kartą gyvenime 2010 m. užregistruotų lėtinių ligų Vilniaus r., navikai sudarė 2 proc. visų susirgimų, iš jų 26,8 proc. – piktybiniai navikai, 2,4 proc. – navikai in situ ir 70,8 proc. – gerybiniai navikai.</w:t>
      </w:r>
    </w:p>
    <w:p w:rsidR="00A311BD" w:rsidRDefault="00A311BD" w:rsidP="00A311BD">
      <w:pPr>
        <w:spacing w:after="0"/>
        <w:jc w:val="both"/>
      </w:pPr>
      <w:r>
        <w:tab/>
        <w:t>Analizuojant 2010 m. piktybinių navikų struktūrą Vilniaus rajone, daugiausiai naujai užregistruotų susirgimų buvo šiais piktybiniais navikais: vyrų tarpe – priešinės liaukos vėžiu (28,2 proc. naujų piktybinių navikų atvejų), odos vėžiu (13,4 proc.) ir plaučių bei bronchų vėžiu (8,7 proc.); moterų tarpe – odos (19 proc.), krūties (17,7 proc.) bei gimdos kaklelio, gimdos kūno ir gimdos piktybiniais navikais (12,8 proc.).</w:t>
      </w:r>
    </w:p>
    <w:p w:rsidR="00A311BD" w:rsidRDefault="00A311BD" w:rsidP="00A311BD">
      <w:pPr>
        <w:spacing w:after="0"/>
        <w:jc w:val="both"/>
      </w:pPr>
      <w:r>
        <w:tab/>
        <w:t xml:space="preserve">Nors visose amžiaus grupėse stebimas sergančių piktybiniais navikais asmenų didėjimas, sparčiausiai jis auga 65 ir vyresnio amžiaus asmenų grupėje </w:t>
      </w:r>
      <w:r w:rsidRPr="00515957">
        <w:rPr>
          <w:b/>
          <w:i/>
        </w:rPr>
        <w:t>(2 pav.)</w:t>
      </w:r>
      <w:r>
        <w:t>.</w:t>
      </w:r>
    </w:p>
    <w:p w:rsidR="00A311BD" w:rsidRDefault="00A311BD" w:rsidP="00A311BD">
      <w:pPr>
        <w:spacing w:after="0"/>
      </w:pPr>
    </w:p>
    <w:p w:rsidR="00A311BD" w:rsidRDefault="00A311BD" w:rsidP="00A311BD">
      <w:pPr>
        <w:spacing w:after="0"/>
      </w:pPr>
      <w:r w:rsidRPr="00E45511">
        <w:rPr>
          <w:lang w:val="lt-LT" w:eastAsia="lt-LT"/>
        </w:rPr>
        <w:lastRenderedPageBreak/>
        <w:drawing>
          <wp:inline distT="0" distB="0" distL="0" distR="0">
            <wp:extent cx="6120130" cy="3353496"/>
            <wp:effectExtent l="19050" t="0" r="13970"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A311BD" w:rsidRDefault="00A311BD" w:rsidP="00A311BD">
      <w:pPr>
        <w:spacing w:after="0"/>
        <w:jc w:val="both"/>
        <w:rPr>
          <w:i/>
        </w:rPr>
      </w:pPr>
      <w:r w:rsidRPr="00E45511">
        <w:rPr>
          <w:b/>
          <w:i/>
        </w:rPr>
        <w:t>2 pav.</w:t>
      </w:r>
      <w:r w:rsidRPr="00E45511">
        <w:rPr>
          <w:i/>
        </w:rPr>
        <w:t xml:space="preserve"> Sergančių piktybiniais navikais asmenų pasiskirstymas pagal amži</w:t>
      </w:r>
      <w:r>
        <w:rPr>
          <w:i/>
        </w:rPr>
        <w:t>aus grupes</w:t>
      </w:r>
      <w:r w:rsidRPr="00E45511">
        <w:rPr>
          <w:i/>
        </w:rPr>
        <w:t xml:space="preserve"> Vilniaus r. 2010 m. (rodiklis 100000 gyv.)</w:t>
      </w:r>
    </w:p>
    <w:p w:rsidR="009950A3" w:rsidRPr="00E40D1D" w:rsidRDefault="009950A3" w:rsidP="00E40D1D">
      <w:pPr>
        <w:jc w:val="center"/>
        <w:rPr>
          <w:b/>
          <w:bCs/>
          <w:sz w:val="28"/>
          <w:szCs w:val="28"/>
        </w:rPr>
      </w:pPr>
    </w:p>
    <w:p w:rsidR="009950A3" w:rsidRPr="00E40D1D" w:rsidRDefault="009950A3" w:rsidP="00E40D1D">
      <w:pPr>
        <w:jc w:val="center"/>
        <w:rPr>
          <w:b/>
          <w:bCs/>
          <w:sz w:val="28"/>
          <w:szCs w:val="28"/>
        </w:rPr>
      </w:pPr>
    </w:p>
    <w:p w:rsidR="009950A3" w:rsidRDefault="009950A3"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Default="00A311BD" w:rsidP="00E40D1D">
      <w:pPr>
        <w:jc w:val="center"/>
        <w:rPr>
          <w:b/>
          <w:bCs/>
          <w:sz w:val="28"/>
          <w:szCs w:val="28"/>
        </w:rPr>
      </w:pPr>
    </w:p>
    <w:p w:rsidR="00A311BD" w:rsidRPr="00E40D1D" w:rsidRDefault="00A311BD" w:rsidP="00E40D1D">
      <w:pPr>
        <w:jc w:val="center"/>
        <w:rPr>
          <w:b/>
          <w:bCs/>
          <w:sz w:val="28"/>
          <w:szCs w:val="28"/>
        </w:rPr>
      </w:pPr>
    </w:p>
    <w:p w:rsidR="009950A3" w:rsidRPr="00E40D1D" w:rsidRDefault="009950A3" w:rsidP="00E40D1D">
      <w:pPr>
        <w:jc w:val="center"/>
        <w:rPr>
          <w:b/>
          <w:bCs/>
          <w:sz w:val="28"/>
          <w:szCs w:val="28"/>
        </w:rPr>
      </w:pPr>
    </w:p>
    <w:p w:rsidR="000E4731" w:rsidRDefault="000E4731" w:rsidP="000E4731">
      <w:pPr>
        <w:contextualSpacing/>
        <w:rPr>
          <w:szCs w:val="24"/>
        </w:rPr>
      </w:pPr>
    </w:p>
    <w:p w:rsidR="000E4731" w:rsidRPr="000E4731" w:rsidRDefault="000E4731" w:rsidP="002F7F74">
      <w:pPr>
        <w:contextualSpacing/>
        <w:jc w:val="center"/>
        <w:rPr>
          <w:b/>
          <w:sz w:val="28"/>
          <w:szCs w:val="28"/>
        </w:rPr>
      </w:pPr>
      <w:r w:rsidRPr="000E4731">
        <w:rPr>
          <w:b/>
          <w:sz w:val="28"/>
          <w:szCs w:val="28"/>
        </w:rPr>
        <w:lastRenderedPageBreak/>
        <w:t>Traumos ir apsinuodijimai</w:t>
      </w:r>
    </w:p>
    <w:p w:rsidR="000E4731" w:rsidRPr="000E4731" w:rsidRDefault="000E4731" w:rsidP="000E4731">
      <w:pPr>
        <w:contextualSpacing/>
        <w:rPr>
          <w:b/>
          <w:sz w:val="28"/>
          <w:szCs w:val="28"/>
        </w:rPr>
      </w:pPr>
    </w:p>
    <w:p w:rsidR="000E4731" w:rsidRPr="00C651A8" w:rsidRDefault="000E4731" w:rsidP="000E4731">
      <w:pPr>
        <w:ind w:firstLine="720"/>
        <w:contextualSpacing/>
        <w:rPr>
          <w:szCs w:val="24"/>
          <w:lang w:val="lt-LT"/>
        </w:rPr>
      </w:pPr>
      <w:r w:rsidRPr="00C651A8">
        <w:rPr>
          <w:szCs w:val="24"/>
          <w:lang w:val="lt-LT"/>
        </w:rPr>
        <w:t xml:space="preserve">Traumos Lietuvoje yra trečia pagal dažnumą mirties priežastis. Nuo nelaimingų atsitikimų ir traumų dažniausiai žūsta jauni ir darbingo amžiaus gyventojai. </w:t>
      </w:r>
    </w:p>
    <w:p w:rsidR="002F7F74" w:rsidRDefault="000E4731" w:rsidP="00EA0BC5">
      <w:pPr>
        <w:ind w:firstLine="720"/>
        <w:contextualSpacing/>
        <w:jc w:val="both"/>
        <w:rPr>
          <w:szCs w:val="24"/>
          <w:lang w:val="lt-LT"/>
        </w:rPr>
      </w:pPr>
      <w:r w:rsidRPr="00C651A8">
        <w:rPr>
          <w:szCs w:val="24"/>
        </w:rPr>
        <w:t xml:space="preserve">HI SIC duomenimis asmenų skaičius, kuriems buvo užregistruota trauma ar kita išorinė priežastis </w:t>
      </w:r>
      <w:r w:rsidR="00EA0BC5">
        <w:rPr>
          <w:szCs w:val="24"/>
        </w:rPr>
        <w:t xml:space="preserve"> </w:t>
      </w:r>
      <w:r w:rsidRPr="00C651A8">
        <w:rPr>
          <w:szCs w:val="24"/>
        </w:rPr>
        <w:t>(apsinuodijimas, nudegimas ar kt.)</w:t>
      </w:r>
      <w:r w:rsidR="00EA0BC5">
        <w:rPr>
          <w:szCs w:val="24"/>
        </w:rPr>
        <w:t xml:space="preserve"> </w:t>
      </w:r>
      <w:r w:rsidRPr="00C651A8">
        <w:rPr>
          <w:szCs w:val="24"/>
        </w:rPr>
        <w:t xml:space="preserve"> nuo 2008 m. Vilniaus rajone</w:t>
      </w:r>
      <w:r w:rsidR="00EA0BC5">
        <w:rPr>
          <w:szCs w:val="24"/>
        </w:rPr>
        <w:t xml:space="preserve"> </w:t>
      </w:r>
      <w:r w:rsidRPr="00C651A8">
        <w:rPr>
          <w:szCs w:val="24"/>
        </w:rPr>
        <w:t xml:space="preserve"> pradėjo</w:t>
      </w:r>
      <w:r w:rsidR="00EA0BC5">
        <w:rPr>
          <w:szCs w:val="24"/>
        </w:rPr>
        <w:t xml:space="preserve"> </w:t>
      </w:r>
      <w:r w:rsidRPr="00C651A8">
        <w:rPr>
          <w:szCs w:val="24"/>
        </w:rPr>
        <w:t xml:space="preserve"> stipriai</w:t>
      </w:r>
      <w:r w:rsidR="00EA0BC5">
        <w:rPr>
          <w:szCs w:val="24"/>
        </w:rPr>
        <w:t xml:space="preserve"> </w:t>
      </w:r>
      <w:r w:rsidRPr="00C651A8">
        <w:rPr>
          <w:szCs w:val="24"/>
        </w:rPr>
        <w:t xml:space="preserve"> ma</w:t>
      </w:r>
      <w:r w:rsidRPr="00C651A8">
        <w:rPr>
          <w:szCs w:val="24"/>
          <w:lang w:val="lt-LT"/>
        </w:rPr>
        <w:t xml:space="preserve">žėti </w:t>
      </w:r>
    </w:p>
    <w:p w:rsidR="000E4731" w:rsidRDefault="000E4731" w:rsidP="00EA0BC5">
      <w:pPr>
        <w:contextualSpacing/>
        <w:jc w:val="both"/>
        <w:rPr>
          <w:szCs w:val="24"/>
        </w:rPr>
      </w:pPr>
      <w:r w:rsidRPr="00C651A8">
        <w:rPr>
          <w:szCs w:val="24"/>
          <w:lang w:val="lt-LT"/>
        </w:rPr>
        <w:t>(</w:t>
      </w:r>
      <w:r w:rsidR="00EA0BC5">
        <w:rPr>
          <w:szCs w:val="24"/>
        </w:rPr>
        <w:t>1</w:t>
      </w:r>
      <w:r w:rsidRPr="00C651A8">
        <w:rPr>
          <w:szCs w:val="24"/>
        </w:rPr>
        <w:t>pav.</w:t>
      </w:r>
      <w:r w:rsidRPr="00C651A8">
        <w:rPr>
          <w:szCs w:val="24"/>
          <w:lang w:val="lt-LT"/>
        </w:rPr>
        <w:t>).</w:t>
      </w:r>
      <w:r w:rsidRPr="00C651A8">
        <w:rPr>
          <w:szCs w:val="24"/>
          <w:lang w:val="lt-LT"/>
        </w:rPr>
        <w:br/>
        <w:t xml:space="preserve">               Naujų atvejų 2010 m. Vilniaus r. buvo </w:t>
      </w:r>
      <w:r w:rsidRPr="00C651A8">
        <w:rPr>
          <w:szCs w:val="24"/>
        </w:rPr>
        <w:t>90,6/1000 gyv</w:t>
      </w:r>
      <w:r w:rsidRPr="00C651A8">
        <w:rPr>
          <w:szCs w:val="24"/>
          <w:lang w:val="lt-LT"/>
        </w:rPr>
        <w:t xml:space="preserve">., kai Lietuvoje </w:t>
      </w:r>
      <w:r w:rsidRPr="00C651A8">
        <w:rPr>
          <w:szCs w:val="24"/>
        </w:rPr>
        <w:t>86,9 /1000 gyv.</w:t>
      </w:r>
    </w:p>
    <w:p w:rsidR="000E4731" w:rsidRPr="00C651A8" w:rsidRDefault="000E4731" w:rsidP="000E4731">
      <w:pPr>
        <w:ind w:firstLine="720"/>
        <w:contextualSpacing/>
        <w:rPr>
          <w:szCs w:val="24"/>
          <w:lang w:val="lt-LT"/>
        </w:rPr>
      </w:pPr>
    </w:p>
    <w:p w:rsidR="000E4731" w:rsidRPr="00C651A8" w:rsidRDefault="000E4731" w:rsidP="000E4731">
      <w:pPr>
        <w:contextualSpacing/>
        <w:jc w:val="both"/>
        <w:rPr>
          <w:b/>
          <w:szCs w:val="24"/>
        </w:rPr>
      </w:pPr>
      <w:r w:rsidRPr="00C651A8">
        <w:rPr>
          <w:szCs w:val="24"/>
          <w:lang w:val="lt-LT" w:eastAsia="lt-LT"/>
        </w:rPr>
        <w:drawing>
          <wp:inline distT="0" distB="0" distL="0" distR="0">
            <wp:extent cx="6023093" cy="2743200"/>
            <wp:effectExtent l="19050" t="0" r="15757" b="0"/>
            <wp:docPr id="3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C651A8">
        <w:rPr>
          <w:szCs w:val="24"/>
        </w:rPr>
        <w:br/>
      </w:r>
      <w:r w:rsidRPr="00C651A8">
        <w:rPr>
          <w:b/>
          <w:szCs w:val="24"/>
        </w:rPr>
        <w:br/>
      </w:r>
      <w:r w:rsidRPr="000E4731">
        <w:rPr>
          <w:b/>
          <w:sz w:val="20"/>
          <w:szCs w:val="20"/>
        </w:rPr>
        <w:t>1 pav. Asmen</w:t>
      </w:r>
      <w:r w:rsidRPr="000E4731">
        <w:rPr>
          <w:b/>
          <w:sz w:val="20"/>
          <w:szCs w:val="20"/>
          <w:lang w:val="lt-LT"/>
        </w:rPr>
        <w:t>ų</w:t>
      </w:r>
      <w:r w:rsidRPr="000E4731">
        <w:rPr>
          <w:b/>
          <w:sz w:val="20"/>
          <w:szCs w:val="20"/>
        </w:rPr>
        <w:t>, kuriems užregistruota trauma Vilniaus r.  ir Lietuvoje 2001 – 2010 m., skaičius 100000 gyv.</w:t>
      </w:r>
    </w:p>
    <w:p w:rsidR="000E4731" w:rsidRPr="00C651A8" w:rsidRDefault="000E4731" w:rsidP="000E4731">
      <w:pPr>
        <w:contextualSpacing/>
        <w:jc w:val="both"/>
        <w:rPr>
          <w:b/>
          <w:szCs w:val="24"/>
        </w:rPr>
      </w:pPr>
    </w:p>
    <w:p w:rsidR="000E4731" w:rsidRPr="00C651A8" w:rsidRDefault="000E4731" w:rsidP="000E4731">
      <w:pPr>
        <w:ind w:firstLine="720"/>
        <w:contextualSpacing/>
        <w:jc w:val="both"/>
        <w:rPr>
          <w:szCs w:val="24"/>
        </w:rPr>
      </w:pPr>
      <w:r w:rsidRPr="00C651A8">
        <w:rPr>
          <w:szCs w:val="24"/>
        </w:rPr>
        <w:t>Nemirtinų sužeidimų įvykusių asmenims kelių transporto įvykiuose, skaičius Vilniaus r. 2010 m. sudar</w:t>
      </w:r>
      <w:r w:rsidRPr="00C651A8">
        <w:rPr>
          <w:szCs w:val="24"/>
          <w:lang w:val="lt-LT"/>
        </w:rPr>
        <w:t xml:space="preserve">ė </w:t>
      </w:r>
      <w:r w:rsidRPr="00C651A8">
        <w:rPr>
          <w:szCs w:val="24"/>
        </w:rPr>
        <w:t>72,8 atv./10000</w:t>
      </w:r>
      <w:r w:rsidR="002F7F74">
        <w:rPr>
          <w:szCs w:val="24"/>
        </w:rPr>
        <w:t>0 gyv., kai Lietuvoje buvo 131,</w:t>
      </w:r>
      <w:r w:rsidRPr="00C651A8">
        <w:rPr>
          <w:szCs w:val="24"/>
        </w:rPr>
        <w:t>7 atv./100000 gyv. (2 pav.)</w:t>
      </w:r>
    </w:p>
    <w:p w:rsidR="000E4731" w:rsidRPr="00C651A8" w:rsidRDefault="000E4731" w:rsidP="000E4731">
      <w:pPr>
        <w:contextualSpacing/>
        <w:jc w:val="both"/>
        <w:rPr>
          <w:szCs w:val="24"/>
        </w:rPr>
      </w:pPr>
    </w:p>
    <w:p w:rsidR="000E4731" w:rsidRPr="000E4731" w:rsidRDefault="000E4731" w:rsidP="000E4731">
      <w:pPr>
        <w:contextualSpacing/>
        <w:jc w:val="both"/>
        <w:rPr>
          <w:b/>
          <w:sz w:val="20"/>
          <w:szCs w:val="20"/>
        </w:rPr>
      </w:pPr>
      <w:r w:rsidRPr="00C651A8">
        <w:rPr>
          <w:b/>
          <w:szCs w:val="24"/>
          <w:lang w:val="lt-LT" w:eastAsia="lt-LT"/>
        </w:rPr>
        <w:drawing>
          <wp:inline distT="0" distB="0" distL="0" distR="0">
            <wp:extent cx="6020243" cy="2041452"/>
            <wp:effectExtent l="19050" t="0" r="18607" b="0"/>
            <wp:docPr id="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C651A8">
        <w:rPr>
          <w:b/>
          <w:szCs w:val="24"/>
        </w:rPr>
        <w:br/>
      </w:r>
      <w:r w:rsidRPr="00C651A8">
        <w:rPr>
          <w:szCs w:val="24"/>
        </w:rPr>
        <w:br/>
      </w:r>
      <w:r w:rsidRPr="000E4731">
        <w:rPr>
          <w:b/>
          <w:sz w:val="20"/>
          <w:szCs w:val="20"/>
        </w:rPr>
        <w:t>2 pav. Nemirtinų sužeidimų, įvykusių asmenims, kelių transporto įvykiuose, skaičius 100000 gyv. Vilniaus r. ir Lietuvoje 2001-2010 m.</w:t>
      </w:r>
    </w:p>
    <w:p w:rsidR="000E4731" w:rsidRPr="00C651A8" w:rsidRDefault="000E4731" w:rsidP="000E4731">
      <w:pPr>
        <w:contextualSpacing/>
        <w:jc w:val="both"/>
        <w:rPr>
          <w:b/>
          <w:szCs w:val="24"/>
        </w:rPr>
      </w:pPr>
    </w:p>
    <w:p w:rsidR="000E4731" w:rsidRPr="00C651A8" w:rsidRDefault="000E4731" w:rsidP="000E4731">
      <w:pPr>
        <w:ind w:firstLine="720"/>
        <w:jc w:val="both"/>
        <w:rPr>
          <w:szCs w:val="24"/>
          <w:lang w:val="lt-LT"/>
        </w:rPr>
      </w:pPr>
      <w:r w:rsidRPr="00C651A8">
        <w:rPr>
          <w:szCs w:val="24"/>
        </w:rPr>
        <w:lastRenderedPageBreak/>
        <w:t>Vilni</w:t>
      </w:r>
      <w:r>
        <w:rPr>
          <w:szCs w:val="24"/>
        </w:rPr>
        <w:t>a</w:t>
      </w:r>
      <w:r w:rsidRPr="00C651A8">
        <w:rPr>
          <w:szCs w:val="24"/>
        </w:rPr>
        <w:t>u</w:t>
      </w:r>
      <w:r>
        <w:rPr>
          <w:szCs w:val="24"/>
        </w:rPr>
        <w:t>s r.</w:t>
      </w:r>
      <w:r w:rsidRPr="00C651A8">
        <w:rPr>
          <w:szCs w:val="24"/>
        </w:rPr>
        <w:t xml:space="preserve"> tiek vyrams, tiek moterims užregistruota daugiau traumų ir apsinuodijimų negu vidutiniškai Lietuvoje: vyrams </w:t>
      </w:r>
      <w:r w:rsidRPr="00C651A8">
        <w:rPr>
          <w:szCs w:val="24"/>
          <w:lang w:val="lt-LT"/>
        </w:rPr>
        <w:t>Vilni</w:t>
      </w:r>
      <w:r w:rsidR="00EA0BC5">
        <w:rPr>
          <w:szCs w:val="24"/>
          <w:lang w:val="lt-LT"/>
        </w:rPr>
        <w:t>a</w:t>
      </w:r>
      <w:r w:rsidRPr="00C651A8">
        <w:rPr>
          <w:szCs w:val="24"/>
          <w:lang w:val="lt-LT"/>
        </w:rPr>
        <w:t>u</w:t>
      </w:r>
      <w:r w:rsidR="00EA0BC5">
        <w:rPr>
          <w:szCs w:val="24"/>
          <w:lang w:val="lt-LT"/>
        </w:rPr>
        <w:t>s r.</w:t>
      </w:r>
      <w:r w:rsidRPr="00C651A8">
        <w:rPr>
          <w:szCs w:val="24"/>
          <w:lang w:val="lt-LT"/>
        </w:rPr>
        <w:t xml:space="preserve"> </w:t>
      </w:r>
      <w:r w:rsidRPr="00C651A8">
        <w:rPr>
          <w:szCs w:val="24"/>
        </w:rPr>
        <w:t>11793 atv./100000, Lietuvoje 11047,9 atv./100000; moterims Vilni</w:t>
      </w:r>
      <w:r w:rsidR="00EA0BC5">
        <w:rPr>
          <w:szCs w:val="24"/>
        </w:rPr>
        <w:t>aus r.</w:t>
      </w:r>
      <w:r w:rsidRPr="00C651A8">
        <w:rPr>
          <w:szCs w:val="24"/>
        </w:rPr>
        <w:t xml:space="preserve"> 6060,0 atv./100000, Lietuvoje 6808,8 atv./100000 gyventoj</w:t>
      </w:r>
      <w:r w:rsidRPr="00C651A8">
        <w:rPr>
          <w:szCs w:val="24"/>
          <w:lang w:val="lt-LT"/>
        </w:rPr>
        <w:t>ų. (</w:t>
      </w:r>
      <w:r w:rsidRPr="00C651A8">
        <w:rPr>
          <w:szCs w:val="24"/>
        </w:rPr>
        <w:t>3 pav.</w:t>
      </w:r>
      <w:r w:rsidRPr="00C651A8">
        <w:rPr>
          <w:szCs w:val="24"/>
          <w:lang w:val="lt-LT"/>
        </w:rPr>
        <w:t>)</w:t>
      </w:r>
    </w:p>
    <w:p w:rsidR="002F7F74" w:rsidRDefault="000E4731" w:rsidP="000E4731">
      <w:pPr>
        <w:contextualSpacing/>
        <w:jc w:val="both"/>
        <w:rPr>
          <w:b/>
          <w:sz w:val="20"/>
          <w:szCs w:val="20"/>
        </w:rPr>
      </w:pPr>
      <w:r w:rsidRPr="00C651A8">
        <w:rPr>
          <w:b/>
          <w:szCs w:val="24"/>
          <w:lang w:val="lt-LT" w:eastAsia="lt-LT"/>
        </w:rPr>
        <w:drawing>
          <wp:inline distT="0" distB="0" distL="0" distR="0">
            <wp:extent cx="6062773" cy="4008474"/>
            <wp:effectExtent l="19050" t="0" r="14177" b="0"/>
            <wp:docPr id="3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Pr="000E4731">
        <w:rPr>
          <w:b/>
          <w:sz w:val="20"/>
          <w:szCs w:val="20"/>
        </w:rPr>
        <w:t>3 pav. Vyrai ir moter</w:t>
      </w:r>
      <w:r w:rsidRPr="000E4731">
        <w:rPr>
          <w:b/>
          <w:sz w:val="20"/>
          <w:szCs w:val="20"/>
          <w:lang w:val="lt-LT"/>
        </w:rPr>
        <w:t>ys</w:t>
      </w:r>
      <w:r w:rsidRPr="000E4731">
        <w:rPr>
          <w:b/>
          <w:sz w:val="20"/>
          <w:szCs w:val="20"/>
        </w:rPr>
        <w:t xml:space="preserve">, kuriems užregistruota trauma Vilniaus r. ir Lietuvoje 2001 – 2010 m., skaičius </w:t>
      </w:r>
    </w:p>
    <w:p w:rsidR="000E4731" w:rsidRDefault="000E4731" w:rsidP="000E4731">
      <w:pPr>
        <w:contextualSpacing/>
        <w:jc w:val="both"/>
        <w:rPr>
          <w:b/>
          <w:szCs w:val="24"/>
        </w:rPr>
      </w:pPr>
      <w:r w:rsidRPr="000E4731">
        <w:rPr>
          <w:b/>
          <w:sz w:val="20"/>
          <w:szCs w:val="20"/>
        </w:rPr>
        <w:t>100000 gyv.</w:t>
      </w:r>
    </w:p>
    <w:p w:rsidR="000E4731" w:rsidRPr="00C651A8" w:rsidRDefault="000E4731" w:rsidP="000E4731">
      <w:pPr>
        <w:contextualSpacing/>
        <w:jc w:val="both"/>
        <w:rPr>
          <w:szCs w:val="24"/>
        </w:rPr>
      </w:pPr>
    </w:p>
    <w:p w:rsidR="000E4731" w:rsidRPr="00C651A8" w:rsidRDefault="000E4731" w:rsidP="000E4731">
      <w:pPr>
        <w:ind w:firstLine="720"/>
        <w:contextualSpacing/>
        <w:jc w:val="both"/>
        <w:rPr>
          <w:szCs w:val="24"/>
          <w:lang w:val="lt-LT"/>
        </w:rPr>
      </w:pPr>
      <w:r w:rsidRPr="00C651A8">
        <w:rPr>
          <w:szCs w:val="24"/>
        </w:rPr>
        <w:t>2010 m. Vilniaus r. užregistruoti 1691 ligoniai, gydyti stacionare nuo traum</w:t>
      </w:r>
      <w:r w:rsidRPr="00C651A8">
        <w:rPr>
          <w:szCs w:val="24"/>
          <w:lang w:val="lt-LT"/>
        </w:rPr>
        <w:t>ų ir apsinuodijimų (</w:t>
      </w:r>
      <w:r w:rsidRPr="00C651A8">
        <w:rPr>
          <w:szCs w:val="24"/>
        </w:rPr>
        <w:t>17,6/1000 gyv.</w:t>
      </w:r>
      <w:r w:rsidRPr="00C651A8">
        <w:rPr>
          <w:szCs w:val="24"/>
          <w:lang w:val="lt-LT"/>
        </w:rPr>
        <w:t xml:space="preserve">). Tarp stacionare gydytų atvejų transporto įvykiai sudarė </w:t>
      </w:r>
      <w:r w:rsidRPr="00C651A8">
        <w:rPr>
          <w:szCs w:val="24"/>
        </w:rPr>
        <w:t>6,3 %, tyčiniai sužalojimai 11,5 %, pasik</w:t>
      </w:r>
      <w:r w:rsidRPr="00C651A8">
        <w:rPr>
          <w:szCs w:val="24"/>
          <w:lang w:val="lt-LT"/>
        </w:rPr>
        <w:t xml:space="preserve">ėsinimai </w:t>
      </w:r>
      <w:r w:rsidRPr="00C651A8">
        <w:rPr>
          <w:szCs w:val="24"/>
        </w:rPr>
        <w:t>2,3 % vis</w:t>
      </w:r>
      <w:r w:rsidRPr="00C651A8">
        <w:rPr>
          <w:szCs w:val="24"/>
          <w:lang w:val="lt-LT"/>
        </w:rPr>
        <w:t>ų traumų priežasčių.</w:t>
      </w:r>
    </w:p>
    <w:p w:rsidR="000E4731" w:rsidRPr="00C651A8" w:rsidRDefault="000E4731" w:rsidP="000E4731">
      <w:pPr>
        <w:contextualSpacing/>
        <w:rPr>
          <w:szCs w:val="24"/>
          <w:lang w:val="lt-LT"/>
        </w:rPr>
      </w:pPr>
    </w:p>
    <w:p w:rsidR="000E4731" w:rsidRDefault="000E4731" w:rsidP="000E4731">
      <w:pPr>
        <w:ind w:firstLine="720"/>
        <w:jc w:val="both"/>
        <w:rPr>
          <w:szCs w:val="24"/>
          <w:lang w:val="lt-LT"/>
        </w:rPr>
      </w:pPr>
      <w:r w:rsidRPr="00C651A8">
        <w:rPr>
          <w:szCs w:val="24"/>
          <w:lang w:val="lt-LT"/>
        </w:rPr>
        <w:t xml:space="preserve">Daugiausiai traumų ir apsinuodijimų patiria </w:t>
      </w:r>
      <w:r>
        <w:rPr>
          <w:szCs w:val="24"/>
          <w:lang w:val="lt-LT"/>
        </w:rPr>
        <w:t>18</w:t>
      </w:r>
      <w:r w:rsidRPr="00C651A8">
        <w:rPr>
          <w:szCs w:val="24"/>
          <w:lang w:val="lt-LT"/>
        </w:rPr>
        <w:t>-</w:t>
      </w:r>
      <w:r>
        <w:rPr>
          <w:szCs w:val="24"/>
          <w:lang w:val="lt-LT"/>
        </w:rPr>
        <w:t>44</w:t>
      </w:r>
      <w:r w:rsidRPr="00C651A8">
        <w:rPr>
          <w:szCs w:val="24"/>
          <w:lang w:val="lt-LT"/>
        </w:rPr>
        <w:t xml:space="preserve"> m. amžiaus </w:t>
      </w:r>
      <w:r>
        <w:rPr>
          <w:szCs w:val="24"/>
          <w:lang w:val="lt-LT"/>
        </w:rPr>
        <w:t>žmonės 9800/100000 gyv</w:t>
      </w:r>
      <w:r w:rsidRPr="00C651A8">
        <w:rPr>
          <w:szCs w:val="24"/>
          <w:lang w:val="lt-LT"/>
        </w:rPr>
        <w:t>. Per pastarąjį dešimtmetį vaikų traumų skaičius didėjo, tik nuo 2008 m jis pradėjo mažėti. 18-64 m. amžiaus grupėse asmenų patyrusių traumas mažėjo nuo 200</w:t>
      </w:r>
      <w:r>
        <w:rPr>
          <w:szCs w:val="24"/>
          <w:lang w:val="lt-LT"/>
        </w:rPr>
        <w:t>7</w:t>
      </w:r>
      <w:r w:rsidRPr="00C651A8">
        <w:rPr>
          <w:szCs w:val="24"/>
          <w:lang w:val="lt-LT"/>
        </w:rPr>
        <w:t xml:space="preserve"> m., tačiau 2010 m. vėl buvo stebimas nežymus padidėjimas. 65 m. amžiaus ir vyresnių žmonių grupėje traumų kiekis išlieka gana stabilus (4 pav.)</w:t>
      </w:r>
      <w:r>
        <w:rPr>
          <w:szCs w:val="24"/>
          <w:lang w:val="lt-LT"/>
        </w:rPr>
        <w:t xml:space="preserve"> </w:t>
      </w:r>
    </w:p>
    <w:p w:rsidR="0072642C" w:rsidRPr="00E40D1D" w:rsidRDefault="0072642C" w:rsidP="00E40D1D">
      <w:pPr>
        <w:rPr>
          <w:sz w:val="40"/>
          <w:szCs w:val="40"/>
        </w:rPr>
      </w:pPr>
    </w:p>
    <w:p w:rsidR="000914C4" w:rsidRPr="00E40D1D" w:rsidRDefault="000914C4" w:rsidP="00E40D1D">
      <w:pPr>
        <w:rPr>
          <w:sz w:val="40"/>
          <w:szCs w:val="40"/>
        </w:rPr>
      </w:pPr>
    </w:p>
    <w:p w:rsidR="0072642C" w:rsidRPr="00E40D1D" w:rsidRDefault="0072642C" w:rsidP="00E40D1D">
      <w:pPr>
        <w:rPr>
          <w:sz w:val="40"/>
          <w:szCs w:val="40"/>
        </w:rPr>
      </w:pPr>
    </w:p>
    <w:p w:rsidR="000E4731" w:rsidRDefault="000E4731" w:rsidP="000E4731">
      <w:pPr>
        <w:jc w:val="center"/>
        <w:rPr>
          <w:sz w:val="40"/>
          <w:szCs w:val="40"/>
        </w:rPr>
      </w:pPr>
    </w:p>
    <w:p w:rsidR="000E4731" w:rsidRPr="0010257F" w:rsidRDefault="000E4731" w:rsidP="000E4731">
      <w:pPr>
        <w:jc w:val="center"/>
        <w:rPr>
          <w:b/>
          <w:sz w:val="28"/>
          <w:szCs w:val="28"/>
          <w:lang w:val="lt-LT"/>
        </w:rPr>
      </w:pPr>
      <w:r w:rsidRPr="0010257F">
        <w:rPr>
          <w:b/>
          <w:sz w:val="28"/>
          <w:szCs w:val="28"/>
        </w:rPr>
        <w:lastRenderedPageBreak/>
        <w:t>Kv</w:t>
      </w:r>
      <w:r w:rsidRPr="0010257F">
        <w:rPr>
          <w:b/>
          <w:sz w:val="28"/>
          <w:szCs w:val="28"/>
          <w:lang w:val="lt-LT"/>
        </w:rPr>
        <w:t>ėpavimo sistemos ligos</w:t>
      </w:r>
    </w:p>
    <w:p w:rsidR="000E4731" w:rsidRPr="00D115B6" w:rsidRDefault="000E4731" w:rsidP="000E4731">
      <w:pPr>
        <w:ind w:firstLine="720"/>
        <w:jc w:val="both"/>
        <w:rPr>
          <w:lang w:val="lt-LT"/>
        </w:rPr>
      </w:pPr>
      <w:r>
        <w:rPr>
          <w:szCs w:val="24"/>
          <w:lang w:val="lt-LT"/>
        </w:rPr>
        <w:t xml:space="preserve">HI SIC duomenimis kvėpavimo sistemos ligomis </w:t>
      </w:r>
      <w:r>
        <w:rPr>
          <w:szCs w:val="24"/>
        </w:rPr>
        <w:t xml:space="preserve">2010 m. </w:t>
      </w:r>
      <w:r>
        <w:rPr>
          <w:szCs w:val="24"/>
          <w:lang w:val="lt-LT"/>
        </w:rPr>
        <w:t xml:space="preserve">Lietuvoje sirgo </w:t>
      </w:r>
      <w:r>
        <w:rPr>
          <w:szCs w:val="24"/>
        </w:rPr>
        <w:t>23806,7/100000 gyv.</w:t>
      </w:r>
      <w:r>
        <w:rPr>
          <w:szCs w:val="24"/>
          <w:lang w:val="lt-LT"/>
        </w:rPr>
        <w:t xml:space="preserve">, Vilniaus r. sergančių asmenų kiekis stebimais metais buvo didesnis ir </w:t>
      </w:r>
      <w:r>
        <w:rPr>
          <w:szCs w:val="24"/>
          <w:lang w:val="lt-LT"/>
        </w:rPr>
        <w:br/>
        <w:t xml:space="preserve">2010 m. siekė </w:t>
      </w:r>
      <w:r>
        <w:rPr>
          <w:szCs w:val="24"/>
        </w:rPr>
        <w:t xml:space="preserve">20606,2/100000 gyv. </w:t>
      </w:r>
      <w:r>
        <w:rPr>
          <w:lang w:val="lt-LT"/>
        </w:rPr>
        <w:t xml:space="preserve">Nuo 2007 m. tiek Lietuvoje, tiek Vilniaus r. stebima kvėpavimo sistemos ligų mažėjimo tendencija </w:t>
      </w:r>
      <w:r w:rsidRPr="00D10BC8">
        <w:rPr>
          <w:lang w:val="lt-LT"/>
        </w:rPr>
        <w:t>(1 pav.)</w:t>
      </w:r>
    </w:p>
    <w:p w:rsidR="000E4731" w:rsidRDefault="000E4731" w:rsidP="000E4731">
      <w:pPr>
        <w:rPr>
          <w:rFonts w:ascii="Calibri" w:hAnsi="Calibri"/>
          <w:sz w:val="22"/>
        </w:rPr>
      </w:pPr>
      <w:r w:rsidRPr="00E520DD">
        <w:rPr>
          <w:rFonts w:ascii="Calibri" w:hAnsi="Calibri"/>
          <w:sz w:val="22"/>
          <w:lang w:val="lt-LT" w:eastAsia="lt-LT"/>
        </w:rPr>
        <w:drawing>
          <wp:inline distT="0" distB="0" distL="0" distR="0">
            <wp:extent cx="6153150" cy="4419600"/>
            <wp:effectExtent l="19050" t="0" r="19050" b="0"/>
            <wp:docPr id="3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E4731" w:rsidRDefault="000E4731" w:rsidP="000E4731">
      <w:pPr>
        <w:rPr>
          <w:b/>
          <w:sz w:val="20"/>
          <w:szCs w:val="20"/>
        </w:rPr>
      </w:pPr>
      <w:r>
        <w:rPr>
          <w:b/>
          <w:sz w:val="20"/>
          <w:szCs w:val="20"/>
        </w:rPr>
        <w:t>1 pav. Ligotumas kvėpavimo sistemos ligomis 100000 gyv. Vilniaus r. ir Lietuvoje 2001-2010 m.</w:t>
      </w:r>
    </w:p>
    <w:p w:rsidR="000E4731" w:rsidRDefault="000E4731" w:rsidP="000E4731">
      <w:pPr>
        <w:ind w:firstLine="709"/>
        <w:jc w:val="both"/>
      </w:pPr>
      <w:r>
        <w:rPr>
          <w:lang w:val="lt-LT"/>
        </w:rPr>
        <w:t>Tiek Lietuvoje, tiek ir Vilniaus r. vaikams (0-17 m.) užregistruojam apie 3 kartus daug</w:t>
      </w:r>
      <w:r w:rsidR="000724DE">
        <w:rPr>
          <w:lang w:val="lt-LT"/>
        </w:rPr>
        <w:t>iau kvėpavimo sistemos ligų negu</w:t>
      </w:r>
      <w:r>
        <w:rPr>
          <w:lang w:val="lt-LT"/>
        </w:rPr>
        <w:t xml:space="preserve"> suaugusiems (atitinkamai Lietuvoje </w:t>
      </w:r>
      <w:r>
        <w:rPr>
          <w:szCs w:val="24"/>
        </w:rPr>
        <w:t>52770,6</w:t>
      </w:r>
      <w:r w:rsidRPr="00D10BC8">
        <w:rPr>
          <w:lang w:val="lt-LT"/>
        </w:rPr>
        <w:t>/100000 gyv.</w:t>
      </w:r>
      <w:r>
        <w:rPr>
          <w:lang w:val="lt-LT"/>
        </w:rPr>
        <w:t xml:space="preserve"> ir </w:t>
      </w:r>
      <w:r w:rsidRPr="00D10BC8">
        <w:rPr>
          <w:lang w:val="lt-LT"/>
        </w:rPr>
        <w:t>17027,6/100000 gyv.</w:t>
      </w:r>
      <w:r>
        <w:rPr>
          <w:lang w:val="lt-LT"/>
        </w:rPr>
        <w:t>, Vilni</w:t>
      </w:r>
      <w:r w:rsidR="00C7080C">
        <w:rPr>
          <w:lang w:val="lt-LT"/>
        </w:rPr>
        <w:t>a</w:t>
      </w:r>
      <w:r>
        <w:rPr>
          <w:lang w:val="lt-LT"/>
        </w:rPr>
        <w:t>u</w:t>
      </w:r>
      <w:r w:rsidR="00C7080C">
        <w:rPr>
          <w:lang w:val="lt-LT"/>
        </w:rPr>
        <w:t>s r.</w:t>
      </w:r>
      <w:r>
        <w:rPr>
          <w:lang w:val="lt-LT"/>
        </w:rPr>
        <w:t xml:space="preserve"> </w:t>
      </w:r>
      <w:r>
        <w:t>(</w:t>
      </w:r>
      <w:r>
        <w:rPr>
          <w:szCs w:val="24"/>
        </w:rPr>
        <w:t>45397,7</w:t>
      </w:r>
      <w:r>
        <w:t xml:space="preserve">/100000 gyv. ir </w:t>
      </w:r>
      <w:r>
        <w:rPr>
          <w:szCs w:val="24"/>
        </w:rPr>
        <w:t>14371,2</w:t>
      </w:r>
      <w:r>
        <w:t>/100000 gyv.) (2 pav.)</w:t>
      </w:r>
    </w:p>
    <w:p w:rsidR="000E4731" w:rsidRDefault="000E4731" w:rsidP="000E4731">
      <w:pPr>
        <w:rPr>
          <w:rFonts w:ascii="Calibri" w:hAnsi="Calibri"/>
          <w:sz w:val="22"/>
        </w:rPr>
      </w:pPr>
      <w:r w:rsidRPr="00E15166">
        <w:rPr>
          <w:rFonts w:ascii="Calibri" w:hAnsi="Calibri"/>
          <w:sz w:val="22"/>
          <w:lang w:val="lt-LT" w:eastAsia="lt-LT"/>
        </w:rPr>
        <w:lastRenderedPageBreak/>
        <w:drawing>
          <wp:inline distT="0" distB="0" distL="0" distR="0">
            <wp:extent cx="6162675" cy="3095625"/>
            <wp:effectExtent l="19050" t="0" r="9525" b="0"/>
            <wp:docPr id="4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E4731" w:rsidRDefault="000E4731" w:rsidP="000E4731">
      <w:pPr>
        <w:rPr>
          <w:b/>
          <w:sz w:val="20"/>
          <w:szCs w:val="20"/>
        </w:rPr>
      </w:pPr>
      <w:r>
        <w:rPr>
          <w:rFonts w:eastAsia="Times New Roman"/>
          <w:b/>
          <w:bCs/>
          <w:sz w:val="20"/>
          <w:szCs w:val="20"/>
        </w:rPr>
        <w:t>2 pav. Ligotumas kvėpavimo sistemos ligomis 0-17</w:t>
      </w:r>
      <w:r w:rsidR="000724DE">
        <w:rPr>
          <w:rFonts w:eastAsia="Times New Roman"/>
          <w:b/>
          <w:bCs/>
          <w:sz w:val="20"/>
          <w:szCs w:val="20"/>
        </w:rPr>
        <w:t xml:space="preserve"> </w:t>
      </w:r>
      <w:r>
        <w:rPr>
          <w:rFonts w:eastAsia="Times New Roman"/>
          <w:b/>
          <w:bCs/>
          <w:sz w:val="20"/>
          <w:szCs w:val="20"/>
        </w:rPr>
        <w:t xml:space="preserve">m. ir 18+ m. amžiaus grupėse 100000 gyv. </w:t>
      </w:r>
      <w:r>
        <w:rPr>
          <w:b/>
          <w:sz w:val="20"/>
          <w:szCs w:val="20"/>
        </w:rPr>
        <w:t>Vilniaus r. ir Lietuvoje 2001-2010 m.</w:t>
      </w:r>
    </w:p>
    <w:p w:rsidR="000E4731" w:rsidRDefault="000E4731" w:rsidP="000E4731">
      <w:pPr>
        <w:ind w:firstLine="567"/>
        <w:jc w:val="both"/>
        <w:rPr>
          <w:szCs w:val="24"/>
          <w:lang w:val="lt-LT"/>
        </w:rPr>
      </w:pPr>
      <w:r>
        <w:rPr>
          <w:szCs w:val="24"/>
        </w:rPr>
        <w:t>Astma Vilniaus r. vaikai iki 17 m. sirgo reč</w:t>
      </w:r>
      <w:r>
        <w:rPr>
          <w:szCs w:val="24"/>
          <w:lang w:val="lt-LT"/>
        </w:rPr>
        <w:t xml:space="preserve">iau </w:t>
      </w:r>
      <w:r>
        <w:rPr>
          <w:szCs w:val="24"/>
        </w:rPr>
        <w:t xml:space="preserve">(1747,8/100000 gyv.) </w:t>
      </w:r>
      <w:r>
        <w:rPr>
          <w:szCs w:val="24"/>
          <w:lang w:val="lt-LT"/>
        </w:rPr>
        <w:t xml:space="preserve"> lyginant su Lietuvos vidurkiu (3088,1/100000 gyv.). 0-17 m. amžiaus grupėje Vilniaus r., astma diagnozuota 3,1 karto daugiau asmenų, nei  suaugusiųjų (</w:t>
      </w:r>
      <w:r>
        <w:rPr>
          <w:szCs w:val="24"/>
        </w:rPr>
        <w:t xml:space="preserve">18+ m. </w:t>
      </w:r>
      <w:r>
        <w:rPr>
          <w:szCs w:val="24"/>
          <w:lang w:val="lt-LT"/>
        </w:rPr>
        <w:t>) grupėje (</w:t>
      </w:r>
      <w:r>
        <w:rPr>
          <w:szCs w:val="24"/>
        </w:rPr>
        <w:t>3 pav.</w:t>
      </w:r>
      <w:r>
        <w:rPr>
          <w:szCs w:val="24"/>
          <w:lang w:val="lt-LT"/>
        </w:rPr>
        <w:t>)</w:t>
      </w:r>
    </w:p>
    <w:p w:rsidR="000E4731" w:rsidRPr="00884B76" w:rsidRDefault="000E4731" w:rsidP="000E4731">
      <w:pPr>
        <w:rPr>
          <w:b/>
          <w:sz w:val="20"/>
          <w:szCs w:val="20"/>
        </w:rPr>
      </w:pPr>
      <w:r w:rsidRPr="00E20282">
        <w:rPr>
          <w:b/>
          <w:sz w:val="20"/>
          <w:szCs w:val="20"/>
          <w:lang w:val="lt-LT" w:eastAsia="lt-LT"/>
        </w:rPr>
        <w:drawing>
          <wp:inline distT="0" distB="0" distL="0" distR="0">
            <wp:extent cx="6162675" cy="2987040"/>
            <wp:effectExtent l="19050" t="0" r="9525" b="381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Pr>
          <w:b/>
          <w:sz w:val="20"/>
          <w:szCs w:val="20"/>
        </w:rPr>
        <w:br/>
        <w:t xml:space="preserve">3 pav. </w:t>
      </w:r>
      <w:r>
        <w:rPr>
          <w:rFonts w:eastAsia="Times New Roman"/>
          <w:b/>
          <w:bCs/>
          <w:sz w:val="20"/>
          <w:szCs w:val="20"/>
        </w:rPr>
        <w:t xml:space="preserve">Ligotumas astma 0-17 m. ir 18+ m. amžiaus grupėse 100000 gyv. </w:t>
      </w:r>
      <w:r>
        <w:rPr>
          <w:b/>
          <w:sz w:val="20"/>
          <w:szCs w:val="20"/>
        </w:rPr>
        <w:t>Vilniaus r. ir Lietuvoje 2001-2010 m.</w:t>
      </w:r>
      <w:r>
        <w:rPr>
          <w:szCs w:val="24"/>
        </w:rPr>
        <w:br/>
      </w:r>
    </w:p>
    <w:p w:rsidR="000E4731" w:rsidRDefault="000E4731" w:rsidP="00E40D1D">
      <w:pPr>
        <w:spacing w:after="0"/>
        <w:jc w:val="center"/>
        <w:rPr>
          <w:b/>
          <w:sz w:val="28"/>
          <w:szCs w:val="28"/>
        </w:rPr>
      </w:pPr>
    </w:p>
    <w:p w:rsidR="000E4731" w:rsidRDefault="000E4731" w:rsidP="00E40D1D">
      <w:pPr>
        <w:spacing w:after="0"/>
        <w:jc w:val="center"/>
        <w:rPr>
          <w:b/>
          <w:sz w:val="28"/>
          <w:szCs w:val="28"/>
        </w:rPr>
      </w:pPr>
    </w:p>
    <w:p w:rsidR="000E4731" w:rsidRDefault="000E4731" w:rsidP="00E40D1D">
      <w:pPr>
        <w:spacing w:after="0"/>
        <w:jc w:val="center"/>
        <w:rPr>
          <w:b/>
          <w:sz w:val="28"/>
          <w:szCs w:val="28"/>
        </w:rPr>
      </w:pPr>
    </w:p>
    <w:p w:rsidR="000E4731" w:rsidRDefault="000E4731" w:rsidP="000E4731">
      <w:pPr>
        <w:spacing w:after="0"/>
        <w:jc w:val="center"/>
        <w:rPr>
          <w:color w:val="000000" w:themeColor="text1"/>
        </w:rPr>
      </w:pPr>
      <w:r w:rsidRPr="006D11E6">
        <w:rPr>
          <w:b/>
          <w:color w:val="000000" w:themeColor="text1"/>
          <w:sz w:val="28"/>
          <w:szCs w:val="28"/>
        </w:rPr>
        <w:lastRenderedPageBreak/>
        <w:t>Infekcin</w:t>
      </w:r>
      <w:r w:rsidR="000E6850">
        <w:rPr>
          <w:b/>
          <w:color w:val="000000" w:themeColor="text1"/>
          <w:sz w:val="28"/>
          <w:szCs w:val="28"/>
          <w:lang w:val="lt-LT"/>
        </w:rPr>
        <w:t>ės</w:t>
      </w:r>
      <w:r w:rsidR="000E6850">
        <w:rPr>
          <w:b/>
          <w:color w:val="000000" w:themeColor="text1"/>
          <w:sz w:val="28"/>
          <w:szCs w:val="28"/>
        </w:rPr>
        <w:t xml:space="preserve"> ir parazitinės</w:t>
      </w:r>
      <w:r w:rsidRPr="006D11E6">
        <w:rPr>
          <w:b/>
          <w:color w:val="000000" w:themeColor="text1"/>
          <w:sz w:val="28"/>
          <w:szCs w:val="28"/>
        </w:rPr>
        <w:t xml:space="preserve"> lig</w:t>
      </w:r>
      <w:r w:rsidR="000E6850">
        <w:rPr>
          <w:b/>
          <w:color w:val="000000" w:themeColor="text1"/>
          <w:sz w:val="28"/>
          <w:szCs w:val="28"/>
        </w:rPr>
        <w:t>os</w:t>
      </w:r>
    </w:p>
    <w:p w:rsidR="000E4731" w:rsidRDefault="000E4731" w:rsidP="000E4731">
      <w:pPr>
        <w:spacing w:after="0"/>
        <w:jc w:val="both"/>
        <w:rPr>
          <w:color w:val="000000" w:themeColor="text1"/>
        </w:rPr>
      </w:pPr>
    </w:p>
    <w:p w:rsidR="000E4731" w:rsidRDefault="000E4731" w:rsidP="000E4731">
      <w:pPr>
        <w:spacing w:after="0"/>
        <w:jc w:val="both"/>
        <w:rPr>
          <w:color w:val="000000" w:themeColor="text1"/>
        </w:rPr>
      </w:pPr>
      <w:r>
        <w:rPr>
          <w:color w:val="000000" w:themeColor="text1"/>
        </w:rPr>
        <w:tab/>
        <w:t xml:space="preserve">HI SIC duomenimis, 2010 m. Vilniaus rajone viso užregistruoti 4039 infekcinių ir parazitinių ligų atvejai (1652 atvejai vyrų tarpe, 2387 - moterų tarpe). Sergamumas (ūmūs ir pirmą kartą gyvenime registruoti atvejai) infekcinėmis ir parazitinėmis ligomis Vilniaus rajone 2001 – 2010 metų laikotarpiu buvo pakankamai nedidelis, lyginant su Vilniaus apskritimi ir Lietuvos vidurkiu </w:t>
      </w:r>
      <w:r w:rsidRPr="00A07847">
        <w:rPr>
          <w:b/>
          <w:i/>
          <w:color w:val="000000" w:themeColor="text1"/>
        </w:rPr>
        <w:t>(1 pav.)</w:t>
      </w:r>
      <w:r>
        <w:rPr>
          <w:color w:val="000000" w:themeColor="text1"/>
        </w:rPr>
        <w:t>, nors stebimąjį 2001 – 2010 metų laikotarpį buvo pakankamai didelių infekcinių ir parazitinių ligų šuolių tiek į viršų, tiek ir žemyn. Lyginant su 2009 m., 2010 m. sergamumas infekcinėmis ir parazitinėmis ligomis Vilniaus r. nežymiai padidėjo. Daugiausiai asmenų, sirgusių infekcinėmis ir parazitinėmis ligomis buvo 18 – 44 m. amžiaus grupėje, nors paprastai šios ligos būdingos vaikams (nuo gimimo iki 17 m.). Vilniaus r. moterų tarpe infekcinės ir parazitinės ligos buvo net 1,4 karto dažnesnės lyginant su vyrais.</w:t>
      </w:r>
    </w:p>
    <w:p w:rsidR="000E4731" w:rsidRDefault="000E4731" w:rsidP="000E4731">
      <w:pPr>
        <w:spacing w:after="0"/>
        <w:jc w:val="both"/>
        <w:rPr>
          <w:color w:val="000000" w:themeColor="text1"/>
        </w:rPr>
      </w:pPr>
    </w:p>
    <w:p w:rsidR="000E4731" w:rsidRPr="00142E68" w:rsidRDefault="000E4731" w:rsidP="000E4731">
      <w:pPr>
        <w:spacing w:after="0"/>
        <w:jc w:val="both"/>
        <w:rPr>
          <w:rFonts w:ascii="Bookman Old Style" w:hAnsi="Bookman Old Style"/>
          <w:i/>
          <w:lang w:eastAsia="lt-LT"/>
        </w:rPr>
      </w:pPr>
      <w:r w:rsidRPr="00A07847">
        <w:rPr>
          <w:color w:val="000000" w:themeColor="text1"/>
          <w:lang w:val="lt-LT" w:eastAsia="lt-LT"/>
        </w:rPr>
        <w:drawing>
          <wp:inline distT="0" distB="0" distL="0" distR="0">
            <wp:extent cx="6096000" cy="3419475"/>
            <wp:effectExtent l="19050" t="0" r="19050" b="0"/>
            <wp:docPr id="8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Pr="00A07847">
        <w:rPr>
          <w:b/>
          <w:i/>
          <w:lang w:eastAsia="lt-LT"/>
        </w:rPr>
        <w:t>1 pav.</w:t>
      </w:r>
      <w:r w:rsidRPr="00A07847">
        <w:rPr>
          <w:i/>
          <w:lang w:eastAsia="lt-LT"/>
        </w:rPr>
        <w:t xml:space="preserve"> Sergamumas infekcinėmis ir parazitinėmis ligomis </w:t>
      </w:r>
      <w:r>
        <w:rPr>
          <w:i/>
          <w:lang w:eastAsia="lt-LT"/>
        </w:rPr>
        <w:t xml:space="preserve">Vilniaus r., Vilniaus apskr. ir Lietuvoje </w:t>
      </w:r>
      <w:r w:rsidRPr="00A07847">
        <w:rPr>
          <w:i/>
          <w:lang w:eastAsia="lt-LT"/>
        </w:rPr>
        <w:t>2001 – 20</w:t>
      </w:r>
      <w:r>
        <w:rPr>
          <w:i/>
          <w:lang w:eastAsia="lt-LT"/>
        </w:rPr>
        <w:t xml:space="preserve">10 </w:t>
      </w:r>
      <w:r w:rsidRPr="00A07847">
        <w:rPr>
          <w:i/>
          <w:lang w:eastAsia="lt-LT"/>
        </w:rPr>
        <w:t>metų laikotarpiu</w:t>
      </w:r>
      <w:r>
        <w:rPr>
          <w:i/>
          <w:lang w:eastAsia="lt-LT"/>
        </w:rPr>
        <w:t xml:space="preserve"> </w:t>
      </w:r>
      <w:r w:rsidRPr="00A07847">
        <w:rPr>
          <w:i/>
          <w:lang w:eastAsia="lt-LT"/>
        </w:rPr>
        <w:t>(rodiklis 1000 gyventojų)</w:t>
      </w:r>
    </w:p>
    <w:p w:rsidR="000E4731" w:rsidRDefault="000E4731" w:rsidP="000E4731">
      <w:pPr>
        <w:spacing w:after="0"/>
        <w:jc w:val="both"/>
        <w:rPr>
          <w:color w:val="000000" w:themeColor="text1"/>
        </w:rPr>
      </w:pPr>
    </w:p>
    <w:p w:rsidR="000E4731" w:rsidRDefault="000E4731" w:rsidP="000E4731">
      <w:pPr>
        <w:spacing w:after="0"/>
        <w:jc w:val="both"/>
        <w:rPr>
          <w:b/>
          <w:color w:val="000000" w:themeColor="text1"/>
        </w:rPr>
      </w:pPr>
      <w:r>
        <w:rPr>
          <w:color w:val="000000" w:themeColor="text1"/>
        </w:rPr>
        <w:tab/>
      </w:r>
      <w:r w:rsidRPr="00EF668B">
        <w:rPr>
          <w:b/>
          <w:color w:val="000000" w:themeColor="text1"/>
        </w:rPr>
        <w:t xml:space="preserve">Ūminės viršutinių kvėpavimo takų infekcijos </w:t>
      </w:r>
      <w:r>
        <w:rPr>
          <w:b/>
          <w:color w:val="000000" w:themeColor="text1"/>
        </w:rPr>
        <w:t xml:space="preserve"> (ŪVKTI) </w:t>
      </w:r>
      <w:r w:rsidRPr="00EF668B">
        <w:rPr>
          <w:b/>
          <w:color w:val="000000" w:themeColor="text1"/>
        </w:rPr>
        <w:t>ir gripas</w:t>
      </w:r>
    </w:p>
    <w:p w:rsidR="003F3191" w:rsidRPr="00EF668B" w:rsidRDefault="003F3191" w:rsidP="000E4731">
      <w:pPr>
        <w:spacing w:after="0"/>
        <w:jc w:val="both"/>
        <w:rPr>
          <w:b/>
          <w:color w:val="000000" w:themeColor="text1"/>
        </w:rPr>
      </w:pPr>
    </w:p>
    <w:p w:rsidR="000E4731" w:rsidRDefault="000E4731" w:rsidP="000E4731">
      <w:pPr>
        <w:spacing w:after="0"/>
        <w:jc w:val="both"/>
        <w:rPr>
          <w:color w:val="000000" w:themeColor="text1"/>
        </w:rPr>
      </w:pPr>
      <w:r>
        <w:rPr>
          <w:color w:val="000000" w:themeColor="text1"/>
        </w:rPr>
        <w:tab/>
        <w:t>ŪVKTI – dažniausia patologija, kuria serga žmonės. Ji sudaro apie 50 proc. visų populiacijos ligų ir apie 75 proc. visų vaikų ligų.</w:t>
      </w:r>
    </w:p>
    <w:p w:rsidR="000E4731" w:rsidRDefault="000E4731" w:rsidP="000E4731">
      <w:pPr>
        <w:spacing w:after="0"/>
        <w:jc w:val="both"/>
        <w:rPr>
          <w:color w:val="000000" w:themeColor="text1"/>
        </w:rPr>
      </w:pPr>
      <w:r>
        <w:rPr>
          <w:color w:val="000000" w:themeColor="text1"/>
        </w:rPr>
        <w:tab/>
        <w:t xml:space="preserve">Vilniaus rajone stebimuoju 2001 – 2010 metų laikotarpiu sergamumas ŪVKTI ir gripu buvo mažesnis už Vilniaus apskrities ir kai kuriais metais neviršijo Lietuvos vidurkio. Lyginat su 2009 m., kuomet sergamumas ŪVKTI ir gripu Vilniaus r. buvo 237,9 atv./1000 gyv., 2010 m. sergamumas stipriai sumažėjo ir 1000 gyv. teko 207,9 ŪVKTI ir gripo atvejai </w:t>
      </w:r>
      <w:r w:rsidRPr="00EF493D">
        <w:rPr>
          <w:b/>
          <w:i/>
          <w:color w:val="000000" w:themeColor="text1"/>
        </w:rPr>
        <w:t>(2 pav.)</w:t>
      </w:r>
      <w:r>
        <w:rPr>
          <w:color w:val="000000" w:themeColor="text1"/>
        </w:rPr>
        <w:t>.</w:t>
      </w:r>
    </w:p>
    <w:p w:rsidR="000E4731" w:rsidRDefault="000E4731" w:rsidP="000E4731">
      <w:pPr>
        <w:spacing w:after="0"/>
        <w:jc w:val="both"/>
        <w:rPr>
          <w:color w:val="000000" w:themeColor="text1"/>
        </w:rPr>
      </w:pPr>
      <w:r>
        <w:rPr>
          <w:color w:val="000000" w:themeColor="text1"/>
        </w:rPr>
        <w:tab/>
        <w:t xml:space="preserve">Kadangi vaikai yra imlesni virusams, tad nieko nuostabaus, jog daugiausia asmenų, sirgusių ŪVKTI ir gripu Vilniaus rajone 2010 m. registruota amžiaus grupėje iki 17 m. </w:t>
      </w:r>
    </w:p>
    <w:p w:rsidR="000E4731" w:rsidRDefault="000E4731" w:rsidP="000E4731">
      <w:pPr>
        <w:spacing w:after="0"/>
        <w:jc w:val="both"/>
        <w:rPr>
          <w:color w:val="000000" w:themeColor="text1"/>
        </w:rPr>
      </w:pPr>
      <w:r w:rsidRPr="00EF668B">
        <w:rPr>
          <w:color w:val="000000" w:themeColor="text1"/>
          <w:lang w:val="lt-LT" w:eastAsia="lt-LT"/>
        </w:rPr>
        <w:lastRenderedPageBreak/>
        <w:drawing>
          <wp:inline distT="0" distB="0" distL="0" distR="0">
            <wp:extent cx="6120130" cy="3305175"/>
            <wp:effectExtent l="19050" t="0" r="13970" b="0"/>
            <wp:docPr id="8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E4731" w:rsidRDefault="000E4731" w:rsidP="000E4731">
      <w:pPr>
        <w:spacing w:after="0"/>
        <w:jc w:val="both"/>
        <w:rPr>
          <w:i/>
          <w:lang w:eastAsia="lt-LT"/>
        </w:rPr>
      </w:pPr>
      <w:r w:rsidRPr="006A235E">
        <w:rPr>
          <w:b/>
          <w:i/>
          <w:color w:val="000000" w:themeColor="text1"/>
        </w:rPr>
        <w:t>2 pav.</w:t>
      </w:r>
      <w:r w:rsidRPr="006A235E">
        <w:rPr>
          <w:i/>
          <w:color w:val="000000" w:themeColor="text1"/>
        </w:rPr>
        <w:t xml:space="preserve"> Sergamumas ŪVKTI ir gripu </w:t>
      </w:r>
      <w:r w:rsidRPr="006A235E">
        <w:rPr>
          <w:i/>
          <w:lang w:eastAsia="lt-LT"/>
        </w:rPr>
        <w:t>Vilniaus r., Vilniaus apskr. ir Lietuvoje 2001 – 2010 metų laikotarpiu (rodiklis 1000 gyventojų)</w:t>
      </w:r>
    </w:p>
    <w:p w:rsidR="000E4731" w:rsidRDefault="000E4731" w:rsidP="000E4731">
      <w:pPr>
        <w:spacing w:after="0"/>
        <w:jc w:val="both"/>
        <w:rPr>
          <w:i/>
          <w:lang w:eastAsia="lt-LT"/>
        </w:rPr>
      </w:pPr>
    </w:p>
    <w:p w:rsidR="000E4731" w:rsidRDefault="000E4731" w:rsidP="000E4731">
      <w:pPr>
        <w:spacing w:after="0"/>
        <w:ind w:firstLine="1296"/>
        <w:jc w:val="both"/>
        <w:rPr>
          <w:b/>
          <w:lang w:eastAsia="lt-LT"/>
        </w:rPr>
      </w:pPr>
      <w:r w:rsidRPr="00B86B6B">
        <w:rPr>
          <w:b/>
          <w:lang w:eastAsia="lt-LT"/>
        </w:rPr>
        <w:t>Tuberkuliozė</w:t>
      </w:r>
    </w:p>
    <w:p w:rsidR="003F3191" w:rsidRPr="00B86B6B" w:rsidRDefault="003F3191" w:rsidP="000E4731">
      <w:pPr>
        <w:spacing w:after="0"/>
        <w:ind w:firstLine="1296"/>
        <w:jc w:val="both"/>
        <w:rPr>
          <w:b/>
          <w:lang w:eastAsia="lt-LT"/>
        </w:rPr>
      </w:pPr>
    </w:p>
    <w:p w:rsidR="000E4731" w:rsidRDefault="000E4731" w:rsidP="000E4731">
      <w:pPr>
        <w:spacing w:after="0"/>
        <w:jc w:val="both"/>
        <w:rPr>
          <w:color w:val="000000" w:themeColor="text1"/>
        </w:rPr>
      </w:pPr>
      <w:r>
        <w:rPr>
          <w:color w:val="000000" w:themeColor="text1"/>
        </w:rPr>
        <w:tab/>
        <w:t xml:space="preserve">Infekcinių ligų ir tuberkuliozės ligoninės duomenimis, sergamumo aktyvia tuberkulioze situacija gerėja – kasmet užregistruojama vis mažiau naujų tuberkuliozės atvejų. Nors sergamumo tuberkulioze situacija Vilniaus r. kiek blogesnė, lyginant su Lietuva ar Vilniaus apskr., tačiau ir čia stebimas sergamumo tuberkulioze mažėjimas, 2010 m. 100000 Vilniaus r. gyventojų teko 49,9 tuberkuliozės atvejai, tuo tarpu 2001 m. šis skaičius buvo išaugęs iki 65,4 atv. 100000 gyv. </w:t>
      </w:r>
      <w:r w:rsidRPr="00327003">
        <w:rPr>
          <w:b/>
          <w:i/>
          <w:color w:val="000000" w:themeColor="text1"/>
        </w:rPr>
        <w:t>(3 pav.)</w:t>
      </w:r>
      <w:r>
        <w:rPr>
          <w:color w:val="000000" w:themeColor="text1"/>
        </w:rPr>
        <w:t>.</w:t>
      </w:r>
    </w:p>
    <w:p w:rsidR="000E4731" w:rsidRDefault="000E4731" w:rsidP="000E4731">
      <w:pPr>
        <w:spacing w:after="0"/>
        <w:jc w:val="both"/>
        <w:rPr>
          <w:color w:val="000000" w:themeColor="text1"/>
        </w:rPr>
      </w:pPr>
    </w:p>
    <w:p w:rsidR="000E4731" w:rsidRDefault="000E4731" w:rsidP="000E4731">
      <w:pPr>
        <w:spacing w:after="0"/>
        <w:jc w:val="both"/>
        <w:rPr>
          <w:color w:val="000000" w:themeColor="text1"/>
        </w:rPr>
      </w:pPr>
      <w:r w:rsidRPr="00180E26">
        <w:rPr>
          <w:color w:val="000000" w:themeColor="text1"/>
          <w:lang w:val="lt-LT" w:eastAsia="lt-LT"/>
        </w:rPr>
        <w:drawing>
          <wp:inline distT="0" distB="0" distL="0" distR="0">
            <wp:extent cx="6120130" cy="2933700"/>
            <wp:effectExtent l="19050" t="0" r="13970" b="0"/>
            <wp:docPr id="89"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E4731" w:rsidRPr="00A05730" w:rsidRDefault="000E4731" w:rsidP="000E4731">
      <w:pPr>
        <w:spacing w:after="0"/>
        <w:jc w:val="both"/>
        <w:rPr>
          <w:b/>
          <w:sz w:val="20"/>
          <w:szCs w:val="20"/>
          <w:lang w:eastAsia="lt-LT"/>
        </w:rPr>
      </w:pPr>
      <w:r w:rsidRPr="00A05730">
        <w:rPr>
          <w:b/>
          <w:color w:val="000000" w:themeColor="text1"/>
          <w:sz w:val="20"/>
          <w:szCs w:val="20"/>
        </w:rPr>
        <w:t xml:space="preserve">3 pav. Sergamumas tuberkulioze </w:t>
      </w:r>
      <w:r w:rsidRPr="00A05730">
        <w:rPr>
          <w:b/>
          <w:sz w:val="20"/>
          <w:szCs w:val="20"/>
          <w:lang w:eastAsia="lt-LT"/>
        </w:rPr>
        <w:t>Vilniaus r., Vilniaus apskr. ir Lietuvoje 2001 – 2010 metų laikotarpiu (rodiklis 100000 gyventojų)</w:t>
      </w:r>
    </w:p>
    <w:p w:rsidR="000E4731" w:rsidRDefault="000E4731" w:rsidP="000E4731">
      <w:pPr>
        <w:spacing w:after="0"/>
        <w:jc w:val="both"/>
      </w:pPr>
      <w:r>
        <w:lastRenderedPageBreak/>
        <w:tab/>
        <w:t>Vilniaus rajone tuberkuliozė beveik du kartus dažniau pasitaiko vyrų tarpe negu moterų tarpe. Daugiausiai asmenų, sergančių tuberkulioze, užregistruota 45 – 64 metų amžiaus grupėje, kiek mažiau 25 – 44 m. amžiaus grupėje.</w:t>
      </w:r>
    </w:p>
    <w:p w:rsidR="000E4731" w:rsidRDefault="000E4731" w:rsidP="000E4731">
      <w:pPr>
        <w:spacing w:after="0"/>
        <w:jc w:val="both"/>
      </w:pPr>
    </w:p>
    <w:p w:rsidR="000E4731" w:rsidRDefault="000E4731" w:rsidP="000E4731">
      <w:pPr>
        <w:spacing w:after="0"/>
        <w:jc w:val="both"/>
        <w:rPr>
          <w:b/>
        </w:rPr>
      </w:pPr>
      <w:r>
        <w:tab/>
      </w:r>
      <w:r w:rsidRPr="004E4918">
        <w:rPr>
          <w:b/>
        </w:rPr>
        <w:t>Lytiniu keliu plintanči</w:t>
      </w:r>
      <w:r>
        <w:rPr>
          <w:b/>
        </w:rPr>
        <w:t>os</w:t>
      </w:r>
      <w:r w:rsidRPr="004E4918">
        <w:rPr>
          <w:b/>
        </w:rPr>
        <w:t xml:space="preserve"> infekcijos</w:t>
      </w:r>
    </w:p>
    <w:p w:rsidR="00A05730" w:rsidRPr="004E4918" w:rsidRDefault="00A05730" w:rsidP="000E4731">
      <w:pPr>
        <w:spacing w:after="0"/>
        <w:jc w:val="both"/>
        <w:rPr>
          <w:b/>
        </w:rPr>
      </w:pPr>
    </w:p>
    <w:p w:rsidR="000E4731" w:rsidRDefault="000E4731" w:rsidP="000E4731">
      <w:pPr>
        <w:spacing w:after="0"/>
        <w:jc w:val="both"/>
      </w:pPr>
      <w:r>
        <w:tab/>
        <w:t>Užkrečiamų ligų ir AIDS centro duomenimis, Lietuvoje 2010 m. sergamumo sifiliu rodiklis padidėjo iki 10,6/100000 gyv. (2009 m. – 9,9/100000 gyv.). Tuo tarpu sergamumas gonorėja nuo 11,7/100000 gyv. (2009 m.) sumažėjo iki 9,6/100000 gyv.</w:t>
      </w:r>
    </w:p>
    <w:p w:rsidR="000E4731" w:rsidRPr="000109CE" w:rsidRDefault="000E4731" w:rsidP="000E4731">
      <w:pPr>
        <w:spacing w:after="0"/>
        <w:jc w:val="both"/>
      </w:pPr>
      <w:r>
        <w:tab/>
        <w:t>Didžiausias sergamumas sifiliu 2010 m. buvo užregistruotas Ukmergės r. savivaldybėje, jis siekė 52,4/100000 gyv. Aukštas sergamumo sifiliu rodiklis užregistruotas ir Šalčininkų r. (46,4/100000 gyv.), Trakų r. (42,3/100000 gyv.), Vilniaus (31,6/100000 gyv.) ir Vilniaus r. (31,2/100000 gyv.) savivaldybėse. Vilniaus apskr. ir Šalčininkų r. stebėtas spartus sergamumo sifiliu augimas.</w:t>
      </w:r>
    </w:p>
    <w:p w:rsidR="000E4731" w:rsidRDefault="000E4731" w:rsidP="000E4731">
      <w:pPr>
        <w:spacing w:after="0"/>
        <w:jc w:val="both"/>
      </w:pPr>
      <w:r>
        <w:tab/>
        <w:t>Daugiausiai asmenų, sergančių lytiškai plintančiomis infekcijomis 2010 m. Vilniaus r. registruota 18 – 44 metų amžiaus grupėje, moterų tarpe dvigubai daugiau negu vyrų tarpe.</w:t>
      </w:r>
    </w:p>
    <w:p w:rsidR="000E4731" w:rsidRDefault="000E4731" w:rsidP="000E4731">
      <w:pPr>
        <w:spacing w:after="0"/>
        <w:jc w:val="both"/>
      </w:pPr>
    </w:p>
    <w:p w:rsidR="000E4731" w:rsidRDefault="000E4731" w:rsidP="000E4731">
      <w:pPr>
        <w:spacing w:after="0"/>
        <w:jc w:val="both"/>
        <w:rPr>
          <w:b/>
        </w:rPr>
      </w:pPr>
      <w:r>
        <w:tab/>
      </w:r>
      <w:r w:rsidRPr="00FB5210">
        <w:rPr>
          <w:b/>
        </w:rPr>
        <w:t>ŽIV/AIDS</w:t>
      </w:r>
    </w:p>
    <w:p w:rsidR="00A05730" w:rsidRPr="00FB5210" w:rsidRDefault="00A05730" w:rsidP="000E4731">
      <w:pPr>
        <w:spacing w:after="0"/>
        <w:jc w:val="both"/>
        <w:rPr>
          <w:b/>
        </w:rPr>
      </w:pPr>
    </w:p>
    <w:p w:rsidR="000E4731" w:rsidRDefault="000E4731" w:rsidP="000E4731">
      <w:pPr>
        <w:spacing w:after="0"/>
        <w:jc w:val="both"/>
      </w:pPr>
      <w:r>
        <w:tab/>
        <w:t xml:space="preserve">Lyginant su Lietuvos vidurkiu ir Vilniaus apskr., Vilniaus r. sergamumas ŽIV buvo pats mažiausias. Lyginant su 2009 m., kuomet 100000 gyv. teko 3,1 ŽIV atvejis, 2010 m. sergamumas Vilniaus r. sumažėjo ir 10000 gyv. teko vos 1 ŽIV atvejis </w:t>
      </w:r>
      <w:r w:rsidRPr="004B7F64">
        <w:rPr>
          <w:b/>
          <w:i/>
        </w:rPr>
        <w:t>(4 pav.)</w:t>
      </w:r>
      <w:r>
        <w:t>.</w:t>
      </w:r>
    </w:p>
    <w:p w:rsidR="000E4731" w:rsidRDefault="000E4731" w:rsidP="000E4731">
      <w:pPr>
        <w:spacing w:after="0"/>
        <w:jc w:val="both"/>
      </w:pPr>
    </w:p>
    <w:p w:rsidR="000E4731" w:rsidRDefault="000E4731" w:rsidP="000E4731">
      <w:pPr>
        <w:spacing w:after="0"/>
        <w:jc w:val="both"/>
      </w:pPr>
      <w:r w:rsidRPr="00797044">
        <w:rPr>
          <w:lang w:val="lt-LT" w:eastAsia="lt-LT"/>
        </w:rPr>
        <w:drawing>
          <wp:inline distT="0" distB="0" distL="0" distR="0">
            <wp:extent cx="6120130" cy="3319060"/>
            <wp:effectExtent l="19050" t="0" r="13970" b="0"/>
            <wp:docPr id="90"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E4731" w:rsidRPr="00A05730" w:rsidRDefault="000E4731" w:rsidP="000E4731">
      <w:pPr>
        <w:spacing w:after="0"/>
        <w:jc w:val="both"/>
        <w:rPr>
          <w:b/>
          <w:sz w:val="20"/>
          <w:szCs w:val="20"/>
          <w:lang w:eastAsia="lt-LT"/>
        </w:rPr>
      </w:pPr>
      <w:r w:rsidRPr="00A05730">
        <w:rPr>
          <w:b/>
          <w:color w:val="000000" w:themeColor="text1"/>
          <w:sz w:val="20"/>
          <w:szCs w:val="20"/>
        </w:rPr>
        <w:t xml:space="preserve">4 pav. Sergamumas ŽIV </w:t>
      </w:r>
      <w:r w:rsidRPr="00A05730">
        <w:rPr>
          <w:b/>
          <w:sz w:val="20"/>
          <w:szCs w:val="20"/>
          <w:lang w:eastAsia="lt-LT"/>
        </w:rPr>
        <w:t>Vilniaus r., Vilniaus apskr. ir Lietuvoje 2001 – 2010 metų laikotarpiu (rodiklis 100000 gyventojų)</w:t>
      </w:r>
    </w:p>
    <w:p w:rsidR="000E4731" w:rsidRDefault="000E4731" w:rsidP="000E4731">
      <w:pPr>
        <w:spacing w:after="0"/>
      </w:pPr>
    </w:p>
    <w:p w:rsidR="000E4731" w:rsidRDefault="000E4731" w:rsidP="000E4731">
      <w:pPr>
        <w:spacing w:after="0"/>
      </w:pPr>
      <w:r>
        <w:tab/>
        <w:t>Nuo 2007 m. neužregistruotas nė vienas AIDS atvejis Vilniaus rajone.</w:t>
      </w:r>
    </w:p>
    <w:p w:rsidR="000E4731" w:rsidRDefault="000E4731" w:rsidP="00E40D1D">
      <w:pPr>
        <w:spacing w:after="0"/>
        <w:jc w:val="center"/>
        <w:rPr>
          <w:b/>
          <w:sz w:val="28"/>
          <w:szCs w:val="28"/>
        </w:rPr>
      </w:pPr>
    </w:p>
    <w:p w:rsidR="000E4731" w:rsidRDefault="000E4731" w:rsidP="00E40D1D">
      <w:pPr>
        <w:spacing w:after="0"/>
        <w:jc w:val="center"/>
        <w:rPr>
          <w:b/>
          <w:sz w:val="28"/>
          <w:szCs w:val="28"/>
        </w:rPr>
      </w:pPr>
    </w:p>
    <w:p w:rsidR="000E4731" w:rsidRPr="008F0EBD" w:rsidRDefault="000E4731" w:rsidP="000E4731">
      <w:pPr>
        <w:spacing w:after="0"/>
        <w:jc w:val="center"/>
        <w:rPr>
          <w:b/>
          <w:sz w:val="28"/>
          <w:szCs w:val="28"/>
        </w:rPr>
      </w:pPr>
      <w:r w:rsidRPr="008A6580">
        <w:rPr>
          <w:b/>
          <w:szCs w:val="24"/>
        </w:rPr>
        <w:lastRenderedPageBreak/>
        <w:t>Sergamumas ūminėmis žarnyno infekcijomis</w:t>
      </w:r>
      <w:r>
        <w:rPr>
          <w:b/>
          <w:szCs w:val="24"/>
        </w:rPr>
        <w:t xml:space="preserve"> </w:t>
      </w:r>
    </w:p>
    <w:p w:rsidR="000E4731" w:rsidRDefault="000E4731" w:rsidP="000E4731">
      <w:pPr>
        <w:spacing w:after="0"/>
        <w:ind w:firstLine="567"/>
        <w:jc w:val="both"/>
        <w:rPr>
          <w:szCs w:val="24"/>
        </w:rPr>
      </w:pPr>
    </w:p>
    <w:p w:rsidR="00E06569" w:rsidRDefault="00E06569" w:rsidP="000E4731">
      <w:pPr>
        <w:spacing w:after="0"/>
        <w:ind w:firstLine="567"/>
        <w:jc w:val="both"/>
        <w:rPr>
          <w:szCs w:val="24"/>
        </w:rPr>
      </w:pPr>
    </w:p>
    <w:p w:rsidR="000E4731" w:rsidRDefault="000E4731" w:rsidP="00A05730">
      <w:pPr>
        <w:spacing w:after="0"/>
        <w:ind w:firstLine="567"/>
        <w:rPr>
          <w:b/>
          <w:szCs w:val="24"/>
        </w:rPr>
      </w:pPr>
      <w:r w:rsidRPr="00B474DD">
        <w:rPr>
          <w:b/>
          <w:szCs w:val="24"/>
        </w:rPr>
        <w:t>Salmoneliozė</w:t>
      </w:r>
    </w:p>
    <w:p w:rsidR="000E4731" w:rsidRPr="00B474DD" w:rsidRDefault="000E4731" w:rsidP="000E4731">
      <w:pPr>
        <w:spacing w:after="0"/>
        <w:ind w:firstLine="567"/>
        <w:jc w:val="center"/>
        <w:rPr>
          <w:b/>
          <w:szCs w:val="24"/>
        </w:rPr>
      </w:pPr>
    </w:p>
    <w:p w:rsidR="000E4731" w:rsidRDefault="000E4731" w:rsidP="000E4731">
      <w:pPr>
        <w:spacing w:after="0"/>
        <w:ind w:firstLine="567"/>
        <w:jc w:val="both"/>
        <w:rPr>
          <w:szCs w:val="24"/>
        </w:rPr>
      </w:pPr>
      <w:r>
        <w:rPr>
          <w:szCs w:val="24"/>
        </w:rPr>
        <w:t>Užkrečiamųjų ligų ir AIDS centro duomenimis (toliau – Centras) Vilniaus rajone 2010 metais buvo užregistruota 69 asmenys, sirgę salmonelioze (2009 m. – 92, 2008 m. – 94). 10000 Vilniaus rajono gyventojų teko 7,2 sergantieji salmonelioze (2009 m. – 9,7), Lietuvoje – 5,3 (2009 m. – 6,1), Vilniaus apskrityje – 6,7 (2009 m. – 8,1) (1 pav.)</w:t>
      </w:r>
    </w:p>
    <w:p w:rsidR="000E4731" w:rsidRDefault="000E4731" w:rsidP="000E4731">
      <w:pPr>
        <w:spacing w:after="0"/>
        <w:ind w:firstLine="567"/>
        <w:jc w:val="both"/>
        <w:rPr>
          <w:szCs w:val="24"/>
        </w:rPr>
      </w:pPr>
      <w:r>
        <w:rPr>
          <w:szCs w:val="24"/>
        </w:rPr>
        <w:t>Sergančiųjų salmonelioze gyventojų skaičius nuo 2008 m.turi tendenciją mažėti.</w:t>
      </w:r>
    </w:p>
    <w:p w:rsidR="000E4731" w:rsidRDefault="000E4731" w:rsidP="000E4731">
      <w:pPr>
        <w:spacing w:after="0"/>
        <w:ind w:firstLine="567"/>
        <w:jc w:val="both"/>
        <w:rPr>
          <w:szCs w:val="24"/>
        </w:rPr>
      </w:pPr>
    </w:p>
    <w:p w:rsidR="000E4731" w:rsidRDefault="000E4731" w:rsidP="000E4731">
      <w:pPr>
        <w:spacing w:after="0"/>
        <w:jc w:val="both"/>
        <w:rPr>
          <w:szCs w:val="24"/>
        </w:rPr>
      </w:pPr>
      <w:r w:rsidRPr="008C0F7C">
        <w:rPr>
          <w:szCs w:val="24"/>
          <w:lang w:val="lt-LT" w:eastAsia="lt-LT"/>
        </w:rPr>
        <w:drawing>
          <wp:inline distT="0" distB="0" distL="0" distR="0">
            <wp:extent cx="6257925" cy="2743200"/>
            <wp:effectExtent l="19050" t="0" r="9525" b="0"/>
            <wp:docPr id="9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E4731" w:rsidRPr="00A05730" w:rsidRDefault="000E4731" w:rsidP="000E4731">
      <w:pPr>
        <w:spacing w:after="0"/>
        <w:jc w:val="both"/>
        <w:rPr>
          <w:b/>
          <w:sz w:val="20"/>
          <w:szCs w:val="20"/>
        </w:rPr>
      </w:pPr>
      <w:r w:rsidRPr="00A05730">
        <w:rPr>
          <w:b/>
          <w:sz w:val="20"/>
          <w:szCs w:val="20"/>
        </w:rPr>
        <w:t>1 pav. Sergamumo salmonelioze dinamika Vilniaus mieste ir šalyje  2002 – 2010 metais (rodiklis 10 tūkst. gyventojų)</w:t>
      </w:r>
    </w:p>
    <w:p w:rsidR="000E4731" w:rsidRDefault="000E4731" w:rsidP="000E4731">
      <w:pPr>
        <w:spacing w:after="0"/>
        <w:jc w:val="both"/>
        <w:rPr>
          <w:i/>
          <w:szCs w:val="24"/>
        </w:rPr>
      </w:pPr>
    </w:p>
    <w:p w:rsidR="000E4731" w:rsidRDefault="000E4731" w:rsidP="000E4731">
      <w:pPr>
        <w:spacing w:after="0"/>
        <w:ind w:firstLine="567"/>
        <w:jc w:val="both"/>
        <w:rPr>
          <w:szCs w:val="24"/>
        </w:rPr>
      </w:pPr>
      <w:r>
        <w:rPr>
          <w:szCs w:val="24"/>
        </w:rPr>
        <w:t xml:space="preserve">2010 m. 10000 Vilniaus r. gyventojų teko 8 sergantieji salmonelioze vyrai ir </w:t>
      </w:r>
      <w:r w:rsidR="00C7080C">
        <w:rPr>
          <w:szCs w:val="24"/>
        </w:rPr>
        <w:t>š</w:t>
      </w:r>
      <w:r>
        <w:rPr>
          <w:szCs w:val="24"/>
        </w:rPr>
        <w:t>iek tiek ma</w:t>
      </w:r>
      <w:r w:rsidR="00C7080C">
        <w:rPr>
          <w:szCs w:val="24"/>
        </w:rPr>
        <w:t>ž</w:t>
      </w:r>
      <w:r>
        <w:rPr>
          <w:szCs w:val="24"/>
        </w:rPr>
        <w:t>iau – 6,4 moterys.</w:t>
      </w:r>
    </w:p>
    <w:p w:rsidR="000E4731" w:rsidRDefault="000E4731" w:rsidP="000E4731">
      <w:pPr>
        <w:spacing w:after="0"/>
        <w:ind w:firstLine="567"/>
        <w:jc w:val="both"/>
        <w:rPr>
          <w:szCs w:val="24"/>
        </w:rPr>
      </w:pPr>
      <w:r>
        <w:rPr>
          <w:szCs w:val="24"/>
        </w:rPr>
        <w:t>Didžiausias sergančių salmonelioze asmenų skaičius buvo registruotas vaikų (0 – 17 m.) amžiaus grupėje (rodiklis – 18,1/10000 vaikų), 45 – 64 m. amžiaus grupėje – 6/10000 gyv., 65 m. amžiaus ir vyresnių – 4,8/10000 gyv. ir mažiausiai sergančiųjų 18 – 44 m. amžiaus Vilniaus r. gyventojų grupėje – 3,4/10000 gyv.</w:t>
      </w:r>
    </w:p>
    <w:p w:rsidR="000E4731" w:rsidRDefault="000E4731" w:rsidP="000E4731">
      <w:pPr>
        <w:spacing w:after="0"/>
        <w:ind w:firstLine="567"/>
        <w:jc w:val="both"/>
        <w:rPr>
          <w:szCs w:val="24"/>
        </w:rPr>
      </w:pPr>
      <w:r>
        <w:rPr>
          <w:szCs w:val="24"/>
        </w:rPr>
        <w:t>Vaikai turi silpnesnį imunitetą, jiems užtenka mažesnės užkrato dozės.</w:t>
      </w:r>
    </w:p>
    <w:p w:rsidR="000E4731" w:rsidRDefault="000E4731" w:rsidP="000E4731">
      <w:pPr>
        <w:spacing w:after="0"/>
        <w:ind w:firstLine="567"/>
        <w:jc w:val="both"/>
        <w:rPr>
          <w:szCs w:val="24"/>
        </w:rPr>
      </w:pPr>
      <w:r>
        <w:rPr>
          <w:szCs w:val="24"/>
        </w:rPr>
        <w:t>Vilniaus visuomenės sveikatos centro duomenimis, 2010 metais Vilniaus rajone užregistruoti du salmoneliozės protrūkiai, kurių metu susirgo 8 asmenys.Vienu atveju susirgo du vienos šeimos vaikai, valgę netinkamai termiškai paruoštų naminių kotletų. Vienas vaikas buvo hospitalizuotas. Kitas salmoneliozės protrūkis užregistruotas rugpjūčio mėn., kurio metu susirgo šeši asmenys iš aštuonių pobūvio dalyvių. Visi gydėsi ambulatoriškai.</w:t>
      </w:r>
    </w:p>
    <w:p w:rsidR="000E4731" w:rsidRDefault="000E4731" w:rsidP="000E4731">
      <w:pPr>
        <w:spacing w:after="0"/>
        <w:ind w:firstLine="567"/>
        <w:jc w:val="both"/>
        <w:rPr>
          <w:szCs w:val="24"/>
        </w:rPr>
      </w:pPr>
      <w:r>
        <w:rPr>
          <w:szCs w:val="24"/>
        </w:rPr>
        <w:t>Epidemiologinio tyrimo metu nustatyti galimai epidemiologiškai pavojingi maisto gaminiai: varškės tortas su žaliais kiaušiniais iš namų ūkio, kiaulienos kotletai, pyragėliai su kopūstais, vištienos sultinys. Maistą gamino patys pobūvio dalyviai. Įvardinti maisto produkto, kuris labiausiai tikėtina sukėlė protrūkį, negalima.</w:t>
      </w:r>
    </w:p>
    <w:p w:rsidR="000E4731" w:rsidRDefault="000E4731" w:rsidP="000E4731">
      <w:pPr>
        <w:spacing w:after="0"/>
        <w:jc w:val="both"/>
        <w:rPr>
          <w:szCs w:val="24"/>
        </w:rPr>
      </w:pPr>
    </w:p>
    <w:p w:rsidR="000947BE" w:rsidRDefault="000947BE" w:rsidP="000E4731">
      <w:pPr>
        <w:spacing w:after="0"/>
        <w:jc w:val="center"/>
        <w:rPr>
          <w:b/>
          <w:szCs w:val="24"/>
        </w:rPr>
      </w:pPr>
    </w:p>
    <w:p w:rsidR="000E6850" w:rsidRDefault="000E6850" w:rsidP="000E4731">
      <w:pPr>
        <w:spacing w:after="0"/>
        <w:jc w:val="center"/>
        <w:rPr>
          <w:b/>
          <w:szCs w:val="24"/>
        </w:rPr>
      </w:pPr>
    </w:p>
    <w:p w:rsidR="000E4731" w:rsidRDefault="000E4731" w:rsidP="00A05730">
      <w:pPr>
        <w:spacing w:after="0"/>
        <w:ind w:firstLine="567"/>
        <w:rPr>
          <w:b/>
          <w:szCs w:val="24"/>
        </w:rPr>
      </w:pPr>
      <w:r w:rsidRPr="006D64FE">
        <w:rPr>
          <w:b/>
          <w:szCs w:val="24"/>
        </w:rPr>
        <w:lastRenderedPageBreak/>
        <w:t>Šigeliozės</w:t>
      </w:r>
    </w:p>
    <w:p w:rsidR="000E4731" w:rsidRPr="006D64FE" w:rsidRDefault="000E4731" w:rsidP="000E4731">
      <w:pPr>
        <w:spacing w:after="0"/>
        <w:ind w:firstLine="567"/>
        <w:jc w:val="both"/>
        <w:rPr>
          <w:b/>
          <w:szCs w:val="24"/>
        </w:rPr>
      </w:pPr>
      <w:r>
        <w:rPr>
          <w:b/>
          <w:szCs w:val="24"/>
        </w:rPr>
        <w:tab/>
      </w:r>
    </w:p>
    <w:p w:rsidR="000E4731" w:rsidRDefault="000E4731" w:rsidP="000E4731">
      <w:pPr>
        <w:spacing w:after="0"/>
        <w:ind w:firstLine="567"/>
        <w:jc w:val="both"/>
        <w:rPr>
          <w:szCs w:val="24"/>
        </w:rPr>
      </w:pPr>
      <w:r>
        <w:rPr>
          <w:szCs w:val="24"/>
        </w:rPr>
        <w:t>2010 m. Vilniaus r. užregistruotas 1 susirgęs šigelioze vyras, sergamumo rodiklis 0,1/10000 gyventojų (2009 m. – taip pat 1 atvejis). Nuo 2005 m. stebimas sergančių šigelioze asmenų skaičiaus sumažėjimas.</w:t>
      </w:r>
    </w:p>
    <w:p w:rsidR="000E4731" w:rsidRDefault="000E4731" w:rsidP="000E4731">
      <w:pPr>
        <w:spacing w:after="0"/>
        <w:ind w:firstLine="567"/>
        <w:jc w:val="both"/>
        <w:rPr>
          <w:szCs w:val="24"/>
        </w:rPr>
      </w:pPr>
    </w:p>
    <w:p w:rsidR="000E4731" w:rsidRDefault="000E4731" w:rsidP="00A05730">
      <w:pPr>
        <w:spacing w:after="0"/>
        <w:ind w:firstLine="567"/>
        <w:rPr>
          <w:b/>
          <w:szCs w:val="24"/>
        </w:rPr>
      </w:pPr>
      <w:r>
        <w:rPr>
          <w:b/>
          <w:szCs w:val="24"/>
        </w:rPr>
        <w:t>Patikslintos bakterinės žarnyno infekcijos</w:t>
      </w:r>
    </w:p>
    <w:p w:rsidR="000E4731" w:rsidRDefault="000E4731" w:rsidP="000E4731">
      <w:pPr>
        <w:spacing w:after="0"/>
        <w:ind w:firstLine="567"/>
        <w:jc w:val="center"/>
        <w:rPr>
          <w:b/>
          <w:szCs w:val="24"/>
        </w:rPr>
      </w:pPr>
    </w:p>
    <w:p w:rsidR="000E4731" w:rsidRPr="00144ED0" w:rsidRDefault="000E4731" w:rsidP="000E4731">
      <w:pPr>
        <w:spacing w:after="0"/>
        <w:ind w:firstLine="567"/>
        <w:jc w:val="both"/>
        <w:rPr>
          <w:szCs w:val="24"/>
        </w:rPr>
      </w:pPr>
      <w:r w:rsidRPr="00144ED0">
        <w:rPr>
          <w:szCs w:val="24"/>
        </w:rPr>
        <w:t>2010 m. Vilniaus rajone užregistruotas 71 asmuo, sergantis patikslintomis bakterinėmis žarnyno infekcijomis</w:t>
      </w:r>
      <w:r>
        <w:rPr>
          <w:szCs w:val="24"/>
        </w:rPr>
        <w:t>, iš jų 55 asmenys hospitalizuoti. 10000 gyv. teko 7,4 sergantieji šiomis infekcijomis (2009 m. – 9,7 sergantieji). 77,5 proc. sergančiųjų šiomis infekcijomis sudarė 0-17 metų amžiaus asmenys.</w:t>
      </w:r>
    </w:p>
    <w:p w:rsidR="000E4731" w:rsidRDefault="000E4731" w:rsidP="000E4731">
      <w:pPr>
        <w:spacing w:after="0"/>
        <w:ind w:firstLine="567"/>
        <w:jc w:val="center"/>
        <w:rPr>
          <w:b/>
          <w:szCs w:val="24"/>
        </w:rPr>
      </w:pPr>
    </w:p>
    <w:p w:rsidR="000E4731" w:rsidRDefault="000E4731" w:rsidP="00A05730">
      <w:pPr>
        <w:spacing w:after="0"/>
        <w:ind w:firstLine="567"/>
        <w:rPr>
          <w:b/>
          <w:szCs w:val="24"/>
        </w:rPr>
      </w:pPr>
      <w:r w:rsidRPr="003F3291">
        <w:rPr>
          <w:b/>
          <w:szCs w:val="24"/>
        </w:rPr>
        <w:t>Kampilobakteriozė</w:t>
      </w:r>
    </w:p>
    <w:p w:rsidR="000E4731" w:rsidRDefault="000E4731" w:rsidP="000E4731">
      <w:pPr>
        <w:spacing w:after="0"/>
        <w:ind w:firstLine="567"/>
        <w:jc w:val="center"/>
        <w:rPr>
          <w:b/>
          <w:szCs w:val="24"/>
        </w:rPr>
      </w:pPr>
    </w:p>
    <w:p w:rsidR="000E4731" w:rsidRDefault="000E4731" w:rsidP="000E4731">
      <w:pPr>
        <w:spacing w:after="0"/>
        <w:ind w:firstLine="567"/>
        <w:jc w:val="both"/>
        <w:rPr>
          <w:szCs w:val="24"/>
        </w:rPr>
      </w:pPr>
      <w:r w:rsidRPr="003F3291">
        <w:rPr>
          <w:szCs w:val="24"/>
        </w:rPr>
        <w:t xml:space="preserve">Vilniaus </w:t>
      </w:r>
      <w:r>
        <w:rPr>
          <w:szCs w:val="24"/>
        </w:rPr>
        <w:t>rajone</w:t>
      </w:r>
      <w:r w:rsidRPr="003F3291">
        <w:rPr>
          <w:szCs w:val="24"/>
        </w:rPr>
        <w:t xml:space="preserve"> 2010 m. užregistruoti </w:t>
      </w:r>
      <w:r>
        <w:rPr>
          <w:szCs w:val="24"/>
        </w:rPr>
        <w:t>34</w:t>
      </w:r>
      <w:r w:rsidRPr="003F3291">
        <w:rPr>
          <w:szCs w:val="24"/>
        </w:rPr>
        <w:t xml:space="preserve"> kampilobakterioze susirgę asmenys.</w:t>
      </w:r>
      <w:r>
        <w:rPr>
          <w:szCs w:val="24"/>
        </w:rPr>
        <w:t xml:space="preserve"> Sergamumo rodiklis 10000 gyventojų – 3,5 (2009 m. užregistruoti 42 ligoniai, rodiklis – 4,4), šalies – 2,7. 23 asmenys iš 34 susirgusiųjų šia liga hospitalizuoti. Dauguma susirgusiųjų – vaikai, net 85,3 proc. </w:t>
      </w:r>
    </w:p>
    <w:p w:rsidR="000E4731" w:rsidRDefault="000E4731" w:rsidP="000E4731">
      <w:pPr>
        <w:spacing w:after="0"/>
        <w:ind w:firstLine="567"/>
        <w:jc w:val="both"/>
        <w:rPr>
          <w:szCs w:val="24"/>
        </w:rPr>
      </w:pPr>
    </w:p>
    <w:p w:rsidR="000E4731" w:rsidRDefault="000E4731" w:rsidP="00A05730">
      <w:pPr>
        <w:spacing w:after="0"/>
        <w:ind w:firstLine="567"/>
        <w:rPr>
          <w:b/>
          <w:szCs w:val="24"/>
        </w:rPr>
      </w:pPr>
      <w:r w:rsidRPr="00D463DF">
        <w:rPr>
          <w:b/>
          <w:szCs w:val="24"/>
        </w:rPr>
        <w:t>J</w:t>
      </w:r>
      <w:r>
        <w:rPr>
          <w:b/>
          <w:szCs w:val="24"/>
        </w:rPr>
        <w:t>e</w:t>
      </w:r>
      <w:r w:rsidRPr="00D463DF">
        <w:rPr>
          <w:b/>
          <w:szCs w:val="24"/>
        </w:rPr>
        <w:t>rsinijozės</w:t>
      </w:r>
    </w:p>
    <w:p w:rsidR="000E4731" w:rsidRDefault="000E4731" w:rsidP="000E4731">
      <w:pPr>
        <w:spacing w:after="0"/>
        <w:jc w:val="center"/>
        <w:rPr>
          <w:b/>
          <w:szCs w:val="24"/>
        </w:rPr>
      </w:pPr>
    </w:p>
    <w:p w:rsidR="000E4731" w:rsidRDefault="000E4731" w:rsidP="000E4731">
      <w:pPr>
        <w:spacing w:after="0"/>
        <w:ind w:firstLine="567"/>
        <w:jc w:val="both"/>
        <w:rPr>
          <w:szCs w:val="24"/>
        </w:rPr>
      </w:pPr>
      <w:r>
        <w:rPr>
          <w:szCs w:val="24"/>
        </w:rPr>
        <w:t xml:space="preserve">2010 m. užregistruoti 24 susirgę jersinijoze asmenys (2009 m. – 38). Sergamumo rodiklis 2,5/10000 gyventojų (2009 m. – 4), šalies – 1,3. Net 83,3 proc. susirgusiųjų buvo hospitalizuoti. Žarnyno jersinijoze susirgo 15 vaikų (62,5 proc.). </w:t>
      </w:r>
    </w:p>
    <w:p w:rsidR="000E4731" w:rsidRDefault="000E4731" w:rsidP="000E4731">
      <w:pPr>
        <w:spacing w:after="0"/>
        <w:jc w:val="both"/>
        <w:rPr>
          <w:szCs w:val="24"/>
        </w:rPr>
      </w:pPr>
    </w:p>
    <w:p w:rsidR="000E4731" w:rsidRPr="00784670" w:rsidRDefault="000E4731" w:rsidP="00A05730">
      <w:pPr>
        <w:spacing w:after="0"/>
        <w:ind w:firstLine="567"/>
        <w:rPr>
          <w:b/>
          <w:szCs w:val="24"/>
        </w:rPr>
      </w:pPr>
      <w:r w:rsidRPr="00784670">
        <w:rPr>
          <w:b/>
          <w:szCs w:val="24"/>
        </w:rPr>
        <w:t>Ešerichijozė</w:t>
      </w:r>
    </w:p>
    <w:p w:rsidR="000E4731" w:rsidRPr="00D463DF" w:rsidRDefault="000E4731" w:rsidP="000E4731">
      <w:pPr>
        <w:spacing w:after="0"/>
        <w:jc w:val="both"/>
        <w:rPr>
          <w:szCs w:val="24"/>
        </w:rPr>
      </w:pPr>
    </w:p>
    <w:p w:rsidR="000E4731" w:rsidRDefault="000E4731" w:rsidP="000E4731">
      <w:pPr>
        <w:spacing w:after="0"/>
        <w:ind w:firstLine="567"/>
        <w:jc w:val="both"/>
        <w:rPr>
          <w:szCs w:val="24"/>
        </w:rPr>
      </w:pPr>
      <w:r>
        <w:rPr>
          <w:szCs w:val="24"/>
        </w:rPr>
        <w:t>Sergančiųjų ešerichijozėmis skaičius palyginus su 2009 m. (0,6/10000 gyv.) padidėjo – 2010 m. nustatyta 10 susirgusiųjų, 10000 Vilniaus r. gyv. teko 1 sergantysis. 6 asmenys hospitalizuoti. 2010 m. sirgo tik vaikai (0-17 m. amžiaus).</w:t>
      </w:r>
    </w:p>
    <w:p w:rsidR="000E4731" w:rsidRDefault="000E4731" w:rsidP="000E4731">
      <w:pPr>
        <w:spacing w:after="0"/>
        <w:jc w:val="both"/>
        <w:rPr>
          <w:szCs w:val="24"/>
        </w:rPr>
      </w:pPr>
    </w:p>
    <w:p w:rsidR="000E4731" w:rsidRPr="00901AAB" w:rsidRDefault="000E4731" w:rsidP="00A05730">
      <w:pPr>
        <w:spacing w:after="0"/>
        <w:ind w:firstLine="567"/>
        <w:rPr>
          <w:b/>
          <w:szCs w:val="24"/>
        </w:rPr>
      </w:pPr>
      <w:r w:rsidRPr="000179E7">
        <w:rPr>
          <w:b/>
          <w:szCs w:val="24"/>
        </w:rPr>
        <w:t>Nepatikslintos bakterinės žarnyno infekcijos</w:t>
      </w:r>
    </w:p>
    <w:p w:rsidR="000E4731" w:rsidRDefault="000E4731" w:rsidP="000E4731">
      <w:pPr>
        <w:spacing w:after="0"/>
        <w:jc w:val="both"/>
        <w:rPr>
          <w:szCs w:val="24"/>
        </w:rPr>
      </w:pPr>
    </w:p>
    <w:p w:rsidR="000E4731" w:rsidRDefault="000E4731" w:rsidP="000E4731">
      <w:pPr>
        <w:spacing w:after="0"/>
        <w:ind w:firstLine="567"/>
        <w:jc w:val="both"/>
        <w:rPr>
          <w:szCs w:val="24"/>
        </w:rPr>
      </w:pPr>
      <w:r>
        <w:rPr>
          <w:szCs w:val="24"/>
        </w:rPr>
        <w:t>2010 m. Vilniaus r. užregistruoti 293 susirgimai napatikslintomis bakterinėmis žarnyno infekcijomis, 10000 gyv. teko 30,5 sergantieji. Lyginant su 2009 m. sergamumas padidėjo 25,6 proc. (2009 m. rodiklis 22,6/10000 gyventojų). Daugiau nei pusė (60 proc.) ligonių buvo hospitalizuoti. Daugiausia sirgo vaikai – 57,7 proc. (rodiklis 17,6/1000 vaikų).</w:t>
      </w:r>
    </w:p>
    <w:p w:rsidR="000E4731" w:rsidRDefault="000E4731" w:rsidP="00E40D1D">
      <w:pPr>
        <w:jc w:val="center"/>
        <w:rPr>
          <w:b/>
          <w:bCs/>
          <w:sz w:val="28"/>
          <w:szCs w:val="28"/>
        </w:rPr>
      </w:pPr>
    </w:p>
    <w:p w:rsidR="000E4731" w:rsidRDefault="000E4731" w:rsidP="00E40D1D">
      <w:pPr>
        <w:jc w:val="center"/>
        <w:rPr>
          <w:b/>
          <w:bCs/>
          <w:sz w:val="28"/>
          <w:szCs w:val="28"/>
        </w:rPr>
      </w:pPr>
    </w:p>
    <w:p w:rsidR="000E4731" w:rsidRDefault="000E4731" w:rsidP="00E40D1D">
      <w:pPr>
        <w:jc w:val="center"/>
        <w:rPr>
          <w:b/>
          <w:bCs/>
          <w:sz w:val="28"/>
          <w:szCs w:val="28"/>
        </w:rPr>
      </w:pPr>
    </w:p>
    <w:p w:rsidR="000E4731" w:rsidRDefault="000E4731" w:rsidP="00E40D1D">
      <w:pPr>
        <w:jc w:val="center"/>
        <w:rPr>
          <w:b/>
          <w:bCs/>
          <w:sz w:val="28"/>
          <w:szCs w:val="28"/>
        </w:rPr>
      </w:pPr>
    </w:p>
    <w:p w:rsidR="000E4731" w:rsidRDefault="000E4731" w:rsidP="00E40D1D">
      <w:pPr>
        <w:jc w:val="center"/>
        <w:rPr>
          <w:b/>
          <w:bCs/>
          <w:sz w:val="28"/>
          <w:szCs w:val="28"/>
        </w:rPr>
      </w:pPr>
    </w:p>
    <w:p w:rsidR="000E4731" w:rsidRDefault="000E4731" w:rsidP="00E40D1D">
      <w:pPr>
        <w:jc w:val="center"/>
        <w:rPr>
          <w:b/>
          <w:bCs/>
          <w:sz w:val="28"/>
          <w:szCs w:val="28"/>
        </w:rPr>
      </w:pPr>
    </w:p>
    <w:p w:rsidR="000E4731" w:rsidRDefault="000E4731" w:rsidP="000E4731">
      <w:pPr>
        <w:jc w:val="center"/>
        <w:rPr>
          <w:b/>
          <w:sz w:val="28"/>
          <w:szCs w:val="28"/>
        </w:rPr>
      </w:pPr>
      <w:r w:rsidRPr="0010257F">
        <w:rPr>
          <w:b/>
          <w:sz w:val="28"/>
          <w:szCs w:val="28"/>
        </w:rPr>
        <w:lastRenderedPageBreak/>
        <w:t>Psichikos ir elgesio sutrikimai</w:t>
      </w:r>
    </w:p>
    <w:p w:rsidR="000E4731" w:rsidRDefault="000E4731" w:rsidP="000E4731">
      <w:pPr>
        <w:ind w:firstLine="720"/>
        <w:jc w:val="both"/>
        <w:rPr>
          <w:lang w:val="lt-LT"/>
        </w:rPr>
      </w:pPr>
      <w:r>
        <w:t xml:space="preserve">Valstybinio psichikos sveikatos centro (VPSC) duomenimis, </w:t>
      </w:r>
      <w:r>
        <w:rPr>
          <w:lang w:val="lt-LT"/>
        </w:rPr>
        <w:t xml:space="preserve"> psichikos ir elgesio sutrikimų turinčių asmenų skaičius Lietuvoje sparčiai augo ir </w:t>
      </w:r>
      <w:r>
        <w:t>2010 m. sudar</w:t>
      </w:r>
      <w:r>
        <w:rPr>
          <w:lang w:val="lt-LT"/>
        </w:rPr>
        <w:t xml:space="preserve">ė </w:t>
      </w:r>
      <w:r>
        <w:t xml:space="preserve">3085,7 /100000 gyv., kai Vilniaus r. mažėjo ir buvo 1238,4 /100000 gyv. (1 pav.) </w:t>
      </w:r>
    </w:p>
    <w:p w:rsidR="000E4731" w:rsidRDefault="000E4731" w:rsidP="000E4731">
      <w:pPr>
        <w:jc w:val="both"/>
        <w:rPr>
          <w:rFonts w:ascii="Calibri" w:hAnsi="Calibri"/>
          <w:sz w:val="22"/>
        </w:rPr>
      </w:pPr>
      <w:r w:rsidRPr="005F2F03">
        <w:rPr>
          <w:rFonts w:ascii="Calibri" w:hAnsi="Calibri"/>
          <w:sz w:val="22"/>
          <w:lang w:val="lt-LT" w:eastAsia="lt-LT"/>
        </w:rPr>
        <w:drawing>
          <wp:inline distT="0" distB="0" distL="0" distR="0">
            <wp:extent cx="6094671" cy="2743200"/>
            <wp:effectExtent l="19050" t="0" r="20379" b="0"/>
            <wp:docPr id="9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E4731" w:rsidRDefault="000E4731" w:rsidP="000E4731">
      <w:pPr>
        <w:jc w:val="both"/>
        <w:rPr>
          <w:b/>
          <w:sz w:val="20"/>
          <w:szCs w:val="20"/>
        </w:rPr>
      </w:pPr>
      <w:r>
        <w:rPr>
          <w:b/>
          <w:sz w:val="20"/>
          <w:szCs w:val="20"/>
        </w:rPr>
        <w:t>1 pav. Ligotumas psichikos ligomis 100000 gyv. Vilniaus r. ir Lietuvoje 2002-2010 m.</w:t>
      </w:r>
    </w:p>
    <w:p w:rsidR="000E4731" w:rsidRPr="005605CB" w:rsidRDefault="000E4731" w:rsidP="000E4731">
      <w:pPr>
        <w:ind w:firstLine="720"/>
        <w:jc w:val="both"/>
        <w:rPr>
          <w:rFonts w:ascii="Calibri" w:hAnsi="Calibri" w:cs="Calibri"/>
          <w:sz w:val="22"/>
          <w:lang w:val="lt-LT"/>
        </w:rPr>
      </w:pPr>
      <w:r w:rsidRPr="00C14098">
        <w:rPr>
          <w:lang w:val="lt-LT"/>
        </w:rPr>
        <w:t>VPSC duomenimis, naujų atvejų skaičius (sergamumas) Vilni</w:t>
      </w:r>
      <w:r>
        <w:rPr>
          <w:lang w:val="lt-LT"/>
        </w:rPr>
        <w:t>aus r.</w:t>
      </w:r>
      <w:r w:rsidRPr="00C14098">
        <w:rPr>
          <w:lang w:val="lt-LT"/>
        </w:rPr>
        <w:t xml:space="preserve"> 2010 m. buvo </w:t>
      </w:r>
      <w:r>
        <w:rPr>
          <w:lang w:val="lt-LT"/>
        </w:rPr>
        <w:t>50,9</w:t>
      </w:r>
      <w:r w:rsidRPr="00C14098">
        <w:rPr>
          <w:lang w:val="lt-LT"/>
        </w:rPr>
        <w:t xml:space="preserve">/100000 gyv., kai Lietuvoje </w:t>
      </w:r>
      <w:r>
        <w:rPr>
          <w:lang w:val="lt-LT"/>
        </w:rPr>
        <w:t xml:space="preserve">nuo 2007 m. </w:t>
      </w:r>
      <w:r w:rsidRPr="00C14098">
        <w:rPr>
          <w:lang w:val="lt-LT"/>
        </w:rPr>
        <w:t>didėjo ir 2010 m. sudarė 201,2/100000 gyv.</w:t>
      </w:r>
      <w:r w:rsidRPr="005605CB">
        <w:rPr>
          <w:lang w:val="lt-LT"/>
        </w:rPr>
        <w:t xml:space="preserve"> (</w:t>
      </w:r>
      <w:r w:rsidRPr="00C14098">
        <w:rPr>
          <w:lang w:val="lt-LT"/>
        </w:rPr>
        <w:t>2 pav.</w:t>
      </w:r>
      <w:r w:rsidRPr="005605CB">
        <w:rPr>
          <w:lang w:val="lt-LT"/>
        </w:rPr>
        <w:t>)</w:t>
      </w:r>
    </w:p>
    <w:p w:rsidR="000E4731" w:rsidRDefault="000E4731" w:rsidP="000E4731">
      <w:pPr>
        <w:jc w:val="both"/>
      </w:pPr>
      <w:r w:rsidRPr="005F2F03">
        <w:rPr>
          <w:lang w:val="lt-LT" w:eastAsia="lt-LT"/>
        </w:rPr>
        <w:drawing>
          <wp:inline distT="0" distB="0" distL="0" distR="0">
            <wp:extent cx="6095616" cy="2743200"/>
            <wp:effectExtent l="19050" t="0" r="19434" b="0"/>
            <wp:docPr id="9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E4731" w:rsidRDefault="000E4731" w:rsidP="000E4731">
      <w:pPr>
        <w:spacing w:after="0"/>
        <w:jc w:val="both"/>
        <w:rPr>
          <w:b/>
          <w:sz w:val="20"/>
          <w:szCs w:val="20"/>
        </w:rPr>
      </w:pPr>
      <w:r>
        <w:rPr>
          <w:rFonts w:eastAsia="Times New Roman"/>
          <w:b/>
          <w:bCs/>
          <w:sz w:val="20"/>
          <w:szCs w:val="20"/>
        </w:rPr>
        <w:t>2 pav. Sergamumas psichikos ligomis 100000 gyv.</w:t>
      </w:r>
      <w:r>
        <w:rPr>
          <w:b/>
          <w:sz w:val="20"/>
          <w:szCs w:val="20"/>
        </w:rPr>
        <w:t xml:space="preserve"> Vilniaus r. ir Lietuvoje 2002-2010 m.</w:t>
      </w:r>
    </w:p>
    <w:p w:rsidR="000E4731" w:rsidRDefault="000E4731" w:rsidP="000E4731">
      <w:pPr>
        <w:spacing w:after="0"/>
        <w:jc w:val="both"/>
        <w:rPr>
          <w:rFonts w:eastAsia="Times New Roman"/>
          <w:b/>
          <w:bCs/>
          <w:sz w:val="20"/>
          <w:szCs w:val="20"/>
        </w:rPr>
      </w:pPr>
    </w:p>
    <w:p w:rsidR="000E4731" w:rsidRDefault="000E4731" w:rsidP="000E4731">
      <w:pPr>
        <w:spacing w:after="0"/>
        <w:jc w:val="both"/>
        <w:rPr>
          <w:rFonts w:eastAsia="Times New Roman"/>
          <w:b/>
          <w:bCs/>
          <w:sz w:val="20"/>
          <w:szCs w:val="20"/>
        </w:rPr>
      </w:pPr>
    </w:p>
    <w:p w:rsidR="000E4731" w:rsidRPr="00C1380A" w:rsidRDefault="000E4731" w:rsidP="000947BE">
      <w:pPr>
        <w:ind w:firstLine="720"/>
        <w:jc w:val="both"/>
        <w:rPr>
          <w:lang w:val="lt-LT"/>
        </w:rPr>
      </w:pPr>
      <w:r>
        <w:rPr>
          <w:lang w:val="lt-LT"/>
        </w:rPr>
        <w:t>Nuo 2004 i</w:t>
      </w:r>
      <w:r w:rsidRPr="004A41D7">
        <w:rPr>
          <w:lang w:val="lt-LT"/>
        </w:rPr>
        <w:t xml:space="preserve">ki 2007 m. </w:t>
      </w:r>
      <w:r>
        <w:rPr>
          <w:lang w:val="lt-LT"/>
        </w:rPr>
        <w:t xml:space="preserve">sergamumas psichikos ir elgesio sutrikimais vartojant alkoholį Vilniaus r. sparčiai augo ir 2007 m. pasiekė 91,8 atvejo 100000 gyventojų. </w:t>
      </w:r>
      <w:r w:rsidRPr="00C14098">
        <w:rPr>
          <w:lang w:val="lt-LT"/>
        </w:rPr>
        <w:t xml:space="preserve">Nuo 2007 m. </w:t>
      </w:r>
      <w:r w:rsidRPr="006F2B23">
        <w:rPr>
          <w:lang w:val="lt-LT"/>
        </w:rPr>
        <w:t xml:space="preserve">naujų </w:t>
      </w:r>
      <w:r>
        <w:rPr>
          <w:lang w:val="lt-LT"/>
        </w:rPr>
        <w:lastRenderedPageBreak/>
        <w:t>psichikos ligų</w:t>
      </w:r>
      <w:r w:rsidRPr="006F2B23">
        <w:rPr>
          <w:lang w:val="lt-LT"/>
        </w:rPr>
        <w:t xml:space="preserve"> atvejų skaičius, vartojančių alkoholį grupėje, </w:t>
      </w:r>
      <w:r w:rsidRPr="00C14098">
        <w:rPr>
          <w:lang w:val="lt-LT"/>
        </w:rPr>
        <w:t>ma</w:t>
      </w:r>
      <w:r w:rsidRPr="006F2B23">
        <w:rPr>
          <w:lang w:val="lt-LT"/>
        </w:rPr>
        <w:t>žėj</w:t>
      </w:r>
      <w:r>
        <w:rPr>
          <w:lang w:val="lt-LT"/>
        </w:rPr>
        <w:t>o</w:t>
      </w:r>
      <w:r w:rsidRPr="006F2B23">
        <w:rPr>
          <w:lang w:val="lt-LT"/>
        </w:rPr>
        <w:t xml:space="preserve"> ir Lietuvoje, ir Vilni</w:t>
      </w:r>
      <w:r>
        <w:rPr>
          <w:lang w:val="lt-LT"/>
        </w:rPr>
        <w:t>aus r</w:t>
      </w:r>
      <w:r w:rsidRPr="006F2B23">
        <w:rPr>
          <w:lang w:val="lt-LT"/>
        </w:rPr>
        <w:t xml:space="preserve">. </w:t>
      </w:r>
      <w:r w:rsidR="000947BE">
        <w:rPr>
          <w:lang w:val="lt-LT"/>
        </w:rPr>
        <w:br/>
      </w:r>
      <w:r w:rsidRPr="00C14098">
        <w:rPr>
          <w:lang w:val="lt-LT"/>
        </w:rPr>
        <w:t>(3 pav.)</w:t>
      </w:r>
      <w:r>
        <w:rPr>
          <w:lang w:val="lt-LT"/>
        </w:rPr>
        <w:t>, tačiau 2004 m. lygio vis dar nepasiekė.</w:t>
      </w:r>
      <w:r w:rsidRPr="00C14098">
        <w:rPr>
          <w:lang w:val="lt-LT"/>
        </w:rPr>
        <w:t xml:space="preserve"> </w:t>
      </w:r>
    </w:p>
    <w:p w:rsidR="000E4731" w:rsidRDefault="000E4731" w:rsidP="000E4731">
      <w:pPr>
        <w:jc w:val="both"/>
        <w:rPr>
          <w:szCs w:val="24"/>
        </w:rPr>
      </w:pPr>
      <w:r w:rsidRPr="00302BB5">
        <w:rPr>
          <w:szCs w:val="24"/>
          <w:lang w:val="lt-LT" w:eastAsia="lt-LT"/>
        </w:rPr>
        <w:drawing>
          <wp:inline distT="0" distB="0" distL="0" distR="0">
            <wp:extent cx="6096886" cy="2743200"/>
            <wp:effectExtent l="19050" t="0" r="18164" b="0"/>
            <wp:docPr id="9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E4731" w:rsidRDefault="000E4731" w:rsidP="000E4731">
      <w:pPr>
        <w:jc w:val="both"/>
        <w:rPr>
          <w:b/>
          <w:sz w:val="20"/>
          <w:szCs w:val="20"/>
        </w:rPr>
      </w:pPr>
      <w:r>
        <w:rPr>
          <w:b/>
          <w:sz w:val="20"/>
          <w:szCs w:val="20"/>
        </w:rPr>
        <w:t xml:space="preserve">3 pav. Sergamumas psichikos ir elgesio sutrikimais vartojant alkoholį 100000 gyv. Vilniaus r. ir Lietuvoje  </w:t>
      </w:r>
      <w:r w:rsidR="000947BE">
        <w:rPr>
          <w:b/>
          <w:sz w:val="20"/>
          <w:szCs w:val="20"/>
        </w:rPr>
        <w:br/>
      </w:r>
      <w:r>
        <w:rPr>
          <w:b/>
          <w:sz w:val="20"/>
          <w:szCs w:val="20"/>
        </w:rPr>
        <w:t>2002-2010 m.</w:t>
      </w:r>
    </w:p>
    <w:p w:rsidR="000E4731" w:rsidRPr="00976DB2" w:rsidRDefault="000E4731" w:rsidP="000E4731">
      <w:pPr>
        <w:ind w:firstLine="720"/>
        <w:rPr>
          <w:szCs w:val="24"/>
          <w:lang w:val="lt-LT"/>
        </w:rPr>
      </w:pPr>
      <w:r w:rsidRPr="00C14098">
        <w:rPr>
          <w:lang w:val="lt-LT"/>
        </w:rPr>
        <w:t xml:space="preserve">VPSC duomenimis, </w:t>
      </w:r>
      <w:r>
        <w:t>narkomanijos ir toksikomanijos</w:t>
      </w:r>
      <w:r w:rsidRPr="006F2B23">
        <w:rPr>
          <w:lang w:val="lt-LT"/>
        </w:rPr>
        <w:t xml:space="preserve"> n</w:t>
      </w:r>
      <w:r w:rsidRPr="006F2B23">
        <w:t xml:space="preserve">aujų </w:t>
      </w:r>
      <w:r>
        <w:t xml:space="preserve">ligos </w:t>
      </w:r>
      <w:r w:rsidRPr="006F2B23">
        <w:t>atvejų skaičius 2010 m. Vilni</w:t>
      </w:r>
      <w:r>
        <w:t>a</w:t>
      </w:r>
      <w:r w:rsidRPr="006F2B23">
        <w:t>u</w:t>
      </w:r>
      <w:r>
        <w:t>s r.</w:t>
      </w:r>
      <w:r w:rsidRPr="006F2B23">
        <w:t xml:space="preserve"> sudarė </w:t>
      </w:r>
      <w:r>
        <w:t>17,7</w:t>
      </w:r>
      <w:r w:rsidRPr="006F2B23">
        <w:t>/100000 gyv., kai Lietuvoje buvo mažesnis (10/100000 gyv.)</w:t>
      </w:r>
      <w:r w:rsidRPr="006F2B23">
        <w:rPr>
          <w:lang w:val="lt-LT"/>
        </w:rPr>
        <w:t>. (4 pav.)</w:t>
      </w:r>
      <w:r>
        <w:rPr>
          <w:lang w:val="lt-LT"/>
        </w:rPr>
        <w:t xml:space="preserve">. </w:t>
      </w:r>
    </w:p>
    <w:p w:rsidR="000E4731" w:rsidRDefault="000E4731" w:rsidP="000E4731">
      <w:pPr>
        <w:rPr>
          <w:szCs w:val="24"/>
        </w:rPr>
      </w:pPr>
      <w:r w:rsidRPr="00C01124">
        <w:rPr>
          <w:szCs w:val="24"/>
          <w:lang w:val="lt-LT" w:eastAsia="lt-LT"/>
        </w:rPr>
        <w:drawing>
          <wp:inline distT="0" distB="0" distL="0" distR="0">
            <wp:extent cx="6098156" cy="2743200"/>
            <wp:effectExtent l="19050" t="0" r="16894" b="0"/>
            <wp:docPr id="98"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E4731" w:rsidRPr="00976DB2" w:rsidRDefault="000E4731" w:rsidP="000E4731">
      <w:pPr>
        <w:jc w:val="both"/>
        <w:rPr>
          <w:szCs w:val="24"/>
        </w:rPr>
      </w:pPr>
      <w:r>
        <w:rPr>
          <w:b/>
          <w:sz w:val="20"/>
          <w:szCs w:val="20"/>
        </w:rPr>
        <w:t xml:space="preserve">4 pav. </w:t>
      </w:r>
      <w:r w:rsidRPr="00C14098">
        <w:rPr>
          <w:b/>
          <w:bCs/>
          <w:sz w:val="20"/>
          <w:szCs w:val="20"/>
          <w:lang w:val="fi-FI"/>
        </w:rPr>
        <w:t xml:space="preserve">Sergamumas narkomanija, toksikomanija 100000 gyv. </w:t>
      </w:r>
      <w:r w:rsidRPr="006F2B23">
        <w:rPr>
          <w:b/>
          <w:bCs/>
          <w:sz w:val="20"/>
          <w:szCs w:val="20"/>
        </w:rPr>
        <w:t>Vilni</w:t>
      </w:r>
      <w:r>
        <w:rPr>
          <w:b/>
          <w:bCs/>
          <w:sz w:val="20"/>
          <w:szCs w:val="20"/>
        </w:rPr>
        <w:t>a</w:t>
      </w:r>
      <w:r w:rsidRPr="006F2B23">
        <w:rPr>
          <w:b/>
          <w:bCs/>
          <w:sz w:val="20"/>
          <w:szCs w:val="20"/>
        </w:rPr>
        <w:t>u</w:t>
      </w:r>
      <w:r>
        <w:rPr>
          <w:b/>
          <w:bCs/>
          <w:sz w:val="20"/>
          <w:szCs w:val="20"/>
        </w:rPr>
        <w:t>s r.</w:t>
      </w:r>
      <w:r w:rsidRPr="006F2B23">
        <w:rPr>
          <w:b/>
          <w:bCs/>
          <w:sz w:val="20"/>
          <w:szCs w:val="20"/>
        </w:rPr>
        <w:t xml:space="preserve"> ir Lietuvoje  2002-2010 m.</w:t>
      </w:r>
    </w:p>
    <w:p w:rsidR="00A80EC7" w:rsidRDefault="00A80EC7" w:rsidP="00E40D1D">
      <w:pPr>
        <w:jc w:val="both"/>
        <w:rPr>
          <w:szCs w:val="24"/>
        </w:rPr>
      </w:pPr>
    </w:p>
    <w:p w:rsidR="000E4731" w:rsidRDefault="000E4731" w:rsidP="00E40D1D">
      <w:pPr>
        <w:jc w:val="both"/>
        <w:rPr>
          <w:szCs w:val="24"/>
        </w:rPr>
      </w:pPr>
    </w:p>
    <w:p w:rsidR="000E4731" w:rsidRDefault="000E4731" w:rsidP="00E40D1D">
      <w:pPr>
        <w:jc w:val="both"/>
        <w:rPr>
          <w:szCs w:val="24"/>
        </w:rPr>
      </w:pPr>
    </w:p>
    <w:p w:rsidR="000E4731" w:rsidRPr="00E40D1D" w:rsidRDefault="000E4731" w:rsidP="00E40D1D">
      <w:pPr>
        <w:jc w:val="both"/>
        <w:rPr>
          <w:szCs w:val="24"/>
        </w:rPr>
      </w:pPr>
    </w:p>
    <w:p w:rsidR="000E4731" w:rsidRPr="005276EA" w:rsidRDefault="000E4731" w:rsidP="000E4731">
      <w:pPr>
        <w:spacing w:after="0"/>
        <w:jc w:val="center"/>
        <w:rPr>
          <w:b/>
          <w:sz w:val="28"/>
          <w:szCs w:val="28"/>
        </w:rPr>
      </w:pPr>
      <w:r w:rsidRPr="005276EA">
        <w:rPr>
          <w:b/>
          <w:sz w:val="28"/>
          <w:szCs w:val="28"/>
        </w:rPr>
        <w:lastRenderedPageBreak/>
        <w:t>Ak</w:t>
      </w:r>
      <w:r w:rsidR="000E6850">
        <w:rPr>
          <w:b/>
          <w:sz w:val="28"/>
          <w:szCs w:val="28"/>
        </w:rPr>
        <w:t>ies ir jos priedinių organų ligos</w:t>
      </w:r>
    </w:p>
    <w:p w:rsidR="000E4731" w:rsidRDefault="000E4731" w:rsidP="000E4731">
      <w:pPr>
        <w:spacing w:after="0"/>
        <w:jc w:val="both"/>
      </w:pPr>
    </w:p>
    <w:p w:rsidR="000E4731" w:rsidRDefault="000E4731" w:rsidP="000E4731">
      <w:pPr>
        <w:spacing w:after="0"/>
        <w:jc w:val="both"/>
      </w:pPr>
      <w:r>
        <w:tab/>
        <w:t xml:space="preserve">HI SIC duomenimis, akies ir jos priedinių organų ligomis Vilniaus rajone 2010 metais sirgo 7981 asmuo, iš jų – 3069 vyrai ir 4912 moterų. </w:t>
      </w:r>
    </w:p>
    <w:p w:rsidR="000E4731" w:rsidRDefault="000E4731" w:rsidP="000E4731">
      <w:pPr>
        <w:spacing w:after="0"/>
        <w:ind w:firstLine="1296"/>
        <w:jc w:val="both"/>
      </w:pPr>
      <w:r>
        <w:t>Iš visų 2010 m. Vilniaus r. užregistruotų susirgimų, akies ir jos priedinių organų ligos sudarė 6,1 proc. Net 17 proc. visų registruotų susirgimų sudarė toliaregystė (hipermetropija), 15,7 proc. - trumparegystė (miopija), 14,3 proc. – vokų, ašarų sistemos, akiduobės ir junginės ligos, 8,6 proc. – senatvinė ir kitos kataraktos, 8 proc. – glaukoma.</w:t>
      </w:r>
    </w:p>
    <w:p w:rsidR="000E4731" w:rsidRDefault="000E4731" w:rsidP="000E4731">
      <w:pPr>
        <w:spacing w:after="0"/>
        <w:ind w:firstLine="1296"/>
        <w:jc w:val="both"/>
      </w:pPr>
      <w:r>
        <w:t>Amžiaus grupėje iki 17 metų dominuoja toliaregystė, 18 – 44 metų amžiaus grupėje – trumparegystė, 45 – 64 m. amžiaus grupėje – toliaregystė bei vokų, ašarų sistemos, akiduobės ir junginės ligos, 65 m. ir vyresnių asmenų tarpe dominuoja glaukoma bei katarakta.</w:t>
      </w:r>
    </w:p>
    <w:p w:rsidR="000E4731" w:rsidRDefault="000E4731" w:rsidP="00E40D1D">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851116" w:rsidRDefault="00851116" w:rsidP="00A05730">
      <w:pPr>
        <w:jc w:val="center"/>
        <w:rPr>
          <w:b/>
          <w:sz w:val="28"/>
          <w:szCs w:val="28"/>
        </w:rPr>
      </w:pPr>
    </w:p>
    <w:p w:rsidR="000E4731" w:rsidRPr="00A05730" w:rsidRDefault="000E4731" w:rsidP="00A05730">
      <w:pPr>
        <w:jc w:val="center"/>
        <w:rPr>
          <w:b/>
          <w:sz w:val="28"/>
          <w:szCs w:val="28"/>
        </w:rPr>
      </w:pPr>
      <w:r w:rsidRPr="000E6850">
        <w:rPr>
          <w:b/>
          <w:sz w:val="28"/>
          <w:szCs w:val="28"/>
        </w:rPr>
        <w:lastRenderedPageBreak/>
        <w:t xml:space="preserve">Virškinimo sistemos ligos </w:t>
      </w:r>
    </w:p>
    <w:p w:rsidR="000E4731" w:rsidRDefault="000E4731" w:rsidP="000E4731">
      <w:pPr>
        <w:ind w:firstLine="567"/>
        <w:jc w:val="both"/>
        <w:rPr>
          <w:szCs w:val="24"/>
        </w:rPr>
      </w:pPr>
      <w:r>
        <w:rPr>
          <w:szCs w:val="24"/>
        </w:rPr>
        <w:t>Vilniaus rajone 2010 m. iš viso buvo užregistruoti 7668 susirgimai virškinimo sistemos ligomis (be dantų ligų), Lietuvoje – 303659 atvejai, 1000 gyventojų teko 79,7 atvejai (Lietuvoje – 92,4), 2009 metais jų buvo užregistruota panašiai –  79,5 atv./1000 gyv. (Lietuvoje – 90,2) (1 pav.).</w:t>
      </w:r>
    </w:p>
    <w:p w:rsidR="000E4731" w:rsidRPr="00A05730" w:rsidRDefault="000E4731" w:rsidP="00A05730">
      <w:pPr>
        <w:ind w:firstLine="567"/>
        <w:jc w:val="both"/>
        <w:rPr>
          <w:szCs w:val="24"/>
        </w:rPr>
      </w:pPr>
      <w:r>
        <w:rPr>
          <w:szCs w:val="24"/>
        </w:rPr>
        <w:t>Naujų šių ligų atvejų 2010 metais Vilniaus rajone buvo užregistruota 5357 (Lietuvoje – 198797), 1000 gyventojų teko 55,7 nauji atvejai (Lietuvoje – 60,5), 2009 m. šiek tiek daugiau – 57,5 nauji atvejai.  Lietuvoje ir Vilniaus rajone 2001 – 2010 m. laikotarpiu stebimos virškinimo sistemos ligų naujų atvejų didėjimo tendencijos (1 pav.).</w:t>
      </w:r>
    </w:p>
    <w:p w:rsidR="000E4731" w:rsidRPr="00C07DB5" w:rsidRDefault="000E4731" w:rsidP="000E4731">
      <w:pPr>
        <w:rPr>
          <w:rFonts w:ascii="Bookman Old Style" w:hAnsi="Bookman Old Style"/>
          <w:sz w:val="16"/>
          <w:szCs w:val="16"/>
        </w:rPr>
      </w:pPr>
      <w:r w:rsidRPr="00CD33BE">
        <w:rPr>
          <w:rFonts w:ascii="Bookman Old Style" w:hAnsi="Bookman Old Style"/>
          <w:sz w:val="16"/>
          <w:szCs w:val="16"/>
          <w:lang w:val="lt-LT" w:eastAsia="lt-LT"/>
        </w:rPr>
        <w:drawing>
          <wp:inline distT="0" distB="0" distL="0" distR="0">
            <wp:extent cx="6105525" cy="2743200"/>
            <wp:effectExtent l="19050" t="0" r="9525" b="0"/>
            <wp:docPr id="9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E4731" w:rsidRPr="00C32CF3" w:rsidRDefault="000E4731" w:rsidP="000E4731">
      <w:pPr>
        <w:jc w:val="both"/>
        <w:rPr>
          <w:b/>
          <w:sz w:val="20"/>
          <w:szCs w:val="20"/>
        </w:rPr>
      </w:pPr>
      <w:r w:rsidRPr="00C32CF3">
        <w:rPr>
          <w:b/>
          <w:sz w:val="20"/>
          <w:szCs w:val="20"/>
        </w:rPr>
        <w:t xml:space="preserve">1 pav. </w:t>
      </w:r>
      <w:r>
        <w:rPr>
          <w:b/>
          <w:sz w:val="20"/>
          <w:szCs w:val="20"/>
        </w:rPr>
        <w:t>Nauji ir visi užregistruoti virškinimo sistemos ligų (be dantų ligų) atvejai 1000</w:t>
      </w:r>
      <w:r w:rsidRPr="00C32CF3">
        <w:rPr>
          <w:b/>
          <w:sz w:val="20"/>
          <w:szCs w:val="20"/>
        </w:rPr>
        <w:t xml:space="preserve"> Vilniaus </w:t>
      </w:r>
      <w:r>
        <w:rPr>
          <w:b/>
          <w:sz w:val="20"/>
          <w:szCs w:val="20"/>
        </w:rPr>
        <w:t>rajono</w:t>
      </w:r>
      <w:r w:rsidRPr="00C32CF3">
        <w:rPr>
          <w:b/>
          <w:sz w:val="20"/>
          <w:szCs w:val="20"/>
        </w:rPr>
        <w:t xml:space="preserve"> ir Lietuvos gyventojų, 2001 – 2010 metais</w:t>
      </w:r>
    </w:p>
    <w:p w:rsidR="000E4731" w:rsidRDefault="000E4731" w:rsidP="000E4731">
      <w:pPr>
        <w:jc w:val="both"/>
        <w:rPr>
          <w:rFonts w:ascii="Bookman Old Style" w:eastAsia="Times New Roman" w:hAnsi="Bookman Old Style" w:cs="Calibri"/>
          <w:bCs/>
          <w:i/>
          <w:color w:val="000000"/>
          <w:szCs w:val="24"/>
          <w:lang w:eastAsia="lt-LT"/>
        </w:rPr>
      </w:pPr>
    </w:p>
    <w:p w:rsidR="000E4731" w:rsidRPr="006E0800" w:rsidRDefault="000E4731" w:rsidP="000E6850">
      <w:pPr>
        <w:ind w:firstLine="567"/>
        <w:jc w:val="both"/>
        <w:rPr>
          <w:rFonts w:eastAsia="Times New Roman"/>
          <w:bCs/>
          <w:color w:val="000000"/>
          <w:szCs w:val="24"/>
          <w:lang w:eastAsia="lt-LT"/>
        </w:rPr>
      </w:pPr>
      <w:r w:rsidRPr="006E0800">
        <w:rPr>
          <w:rFonts w:eastAsia="Times New Roman"/>
          <w:bCs/>
          <w:color w:val="000000"/>
          <w:szCs w:val="24"/>
          <w:lang w:eastAsia="lt-LT"/>
        </w:rPr>
        <w:t xml:space="preserve">2010 metais daugiausiai Vilniaus </w:t>
      </w:r>
      <w:r>
        <w:rPr>
          <w:rFonts w:eastAsia="Times New Roman"/>
          <w:bCs/>
          <w:color w:val="000000"/>
          <w:szCs w:val="24"/>
          <w:lang w:eastAsia="lt-LT"/>
        </w:rPr>
        <w:t>r.</w:t>
      </w:r>
      <w:r w:rsidRPr="006E0800">
        <w:rPr>
          <w:rFonts w:eastAsia="Times New Roman"/>
          <w:bCs/>
          <w:color w:val="000000"/>
          <w:szCs w:val="24"/>
          <w:lang w:eastAsia="lt-LT"/>
        </w:rPr>
        <w:t xml:space="preserve"> gyventojų sirgo dantų ligomis </w:t>
      </w:r>
      <w:r>
        <w:rPr>
          <w:rFonts w:eastAsia="Times New Roman"/>
          <w:bCs/>
          <w:color w:val="000000"/>
          <w:szCs w:val="24"/>
          <w:lang w:eastAsia="lt-LT"/>
        </w:rPr>
        <w:t xml:space="preserve">(tarp jų – kariesu) </w:t>
      </w:r>
      <w:r w:rsidRPr="006E0800">
        <w:rPr>
          <w:rFonts w:eastAsia="Times New Roman"/>
          <w:bCs/>
          <w:color w:val="000000"/>
          <w:szCs w:val="24"/>
          <w:lang w:eastAsia="lt-LT"/>
        </w:rPr>
        <w:t>(</w:t>
      </w:r>
      <w:r>
        <w:rPr>
          <w:rFonts w:eastAsia="Times New Roman"/>
          <w:bCs/>
          <w:color w:val="000000"/>
          <w:szCs w:val="24"/>
          <w:lang w:eastAsia="lt-LT"/>
        </w:rPr>
        <w:t xml:space="preserve">69,9/1000 gyv.). Iš kitų virškinimo sistemos ligų (be dantų ligų) 1000 Vilniaus r. gyventojų teko 16,7 sergantieji </w:t>
      </w:r>
      <w:r w:rsidRPr="006E0800">
        <w:rPr>
          <w:rFonts w:eastAsia="Times New Roman"/>
          <w:bCs/>
          <w:color w:val="000000"/>
          <w:szCs w:val="24"/>
          <w:lang w:eastAsia="lt-LT"/>
        </w:rPr>
        <w:t>gastritu ir duodenitu</w:t>
      </w:r>
      <w:r>
        <w:rPr>
          <w:rFonts w:eastAsia="Times New Roman"/>
          <w:bCs/>
          <w:color w:val="000000"/>
          <w:szCs w:val="24"/>
          <w:lang w:eastAsia="lt-LT"/>
        </w:rPr>
        <w:t>, 11,5 sergantieji stemplės ligomis bei kitomis virškinimo sistemos ligomis (2 pav.).</w:t>
      </w:r>
    </w:p>
    <w:p w:rsidR="000E4731" w:rsidRDefault="000E4731" w:rsidP="000E4731">
      <w:pPr>
        <w:jc w:val="both"/>
        <w:rPr>
          <w:rFonts w:ascii="Bookman Old Style" w:eastAsia="Times New Roman" w:hAnsi="Bookman Old Style" w:cs="Calibri"/>
          <w:bCs/>
          <w:i/>
          <w:color w:val="000000"/>
          <w:szCs w:val="24"/>
          <w:lang w:eastAsia="lt-LT"/>
        </w:rPr>
      </w:pPr>
      <w:r w:rsidRPr="004A00CE">
        <w:rPr>
          <w:rFonts w:ascii="Bookman Old Style" w:eastAsia="Times New Roman" w:hAnsi="Bookman Old Style" w:cs="Calibri"/>
          <w:bCs/>
          <w:i/>
          <w:color w:val="000000"/>
          <w:szCs w:val="24"/>
          <w:lang w:val="lt-LT" w:eastAsia="lt-LT"/>
        </w:rPr>
        <w:lastRenderedPageBreak/>
        <w:drawing>
          <wp:inline distT="0" distB="0" distL="0" distR="0">
            <wp:extent cx="6029325" cy="2527334"/>
            <wp:effectExtent l="19050" t="0" r="9525" b="6316"/>
            <wp:docPr id="100"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0E4731" w:rsidRPr="0044149C" w:rsidRDefault="000E4731" w:rsidP="000E4731">
      <w:pPr>
        <w:jc w:val="both"/>
        <w:rPr>
          <w:rFonts w:eastAsia="Times New Roman"/>
          <w:b/>
          <w:bCs/>
          <w:color w:val="000000"/>
          <w:sz w:val="20"/>
          <w:szCs w:val="20"/>
          <w:lang w:eastAsia="lt-LT"/>
        </w:rPr>
      </w:pPr>
      <w:r w:rsidRPr="0044149C">
        <w:rPr>
          <w:rFonts w:eastAsia="Times New Roman"/>
          <w:b/>
          <w:bCs/>
          <w:color w:val="000000"/>
          <w:sz w:val="20"/>
          <w:szCs w:val="20"/>
          <w:lang w:eastAsia="lt-LT"/>
        </w:rPr>
        <w:t xml:space="preserve">2 pav. </w:t>
      </w:r>
      <w:r>
        <w:rPr>
          <w:rFonts w:eastAsia="Times New Roman"/>
          <w:b/>
          <w:bCs/>
          <w:color w:val="000000"/>
          <w:sz w:val="20"/>
          <w:szCs w:val="20"/>
          <w:lang w:eastAsia="lt-LT"/>
        </w:rPr>
        <w:t>Asmenų, sergančių kai kuriomis virškinimo sistemos ligomis,  skaičius 1000 Vilniaus rajono gyventojų 2010 m.</w:t>
      </w:r>
    </w:p>
    <w:p w:rsidR="000E4731" w:rsidRPr="00565877" w:rsidRDefault="000E4731" w:rsidP="000E4731">
      <w:pPr>
        <w:ind w:firstLine="567"/>
        <w:jc w:val="both"/>
        <w:rPr>
          <w:i/>
          <w:szCs w:val="24"/>
        </w:rPr>
      </w:pPr>
      <w:r w:rsidRPr="00565877">
        <w:rPr>
          <w:szCs w:val="24"/>
        </w:rPr>
        <w:t xml:space="preserve">Virškinimo sistemos ligomis labiau linkusios sirgti moterys negu vyrai. </w:t>
      </w:r>
      <w:r>
        <w:rPr>
          <w:szCs w:val="24"/>
        </w:rPr>
        <w:t>2010 metais 1000 Vilniaus r. gyventojų teko 73,9 sergančios moterys  ir 61,8 vyrai.</w:t>
      </w:r>
    </w:p>
    <w:p w:rsidR="000E4731" w:rsidRPr="00A32CFA" w:rsidRDefault="000E4731" w:rsidP="000E6850">
      <w:pPr>
        <w:ind w:firstLine="567"/>
        <w:jc w:val="both"/>
        <w:rPr>
          <w:rFonts w:eastAsia="Times New Roman"/>
          <w:bCs/>
          <w:color w:val="000000"/>
          <w:szCs w:val="24"/>
          <w:lang w:eastAsia="lt-LT"/>
        </w:rPr>
      </w:pPr>
      <w:r w:rsidRPr="00565877">
        <w:rPr>
          <w:rFonts w:eastAsia="Times New Roman"/>
          <w:bCs/>
          <w:color w:val="000000"/>
          <w:szCs w:val="24"/>
          <w:lang w:eastAsia="lt-LT"/>
        </w:rPr>
        <w:t xml:space="preserve">Vilniaus </w:t>
      </w:r>
      <w:r>
        <w:rPr>
          <w:rFonts w:eastAsia="Times New Roman"/>
          <w:bCs/>
          <w:color w:val="000000"/>
          <w:szCs w:val="24"/>
          <w:lang w:eastAsia="lt-LT"/>
        </w:rPr>
        <w:t>rajone</w:t>
      </w:r>
      <w:r w:rsidRPr="00565877">
        <w:rPr>
          <w:rFonts w:eastAsia="Times New Roman"/>
          <w:bCs/>
          <w:color w:val="000000"/>
          <w:szCs w:val="24"/>
          <w:lang w:eastAsia="lt-LT"/>
        </w:rPr>
        <w:t xml:space="preserve"> </w:t>
      </w:r>
      <w:r>
        <w:rPr>
          <w:rFonts w:eastAsia="Times New Roman"/>
          <w:bCs/>
          <w:color w:val="000000"/>
          <w:szCs w:val="24"/>
          <w:lang w:eastAsia="lt-LT"/>
        </w:rPr>
        <w:t>2001 – 2010 metų laikotarpiu v</w:t>
      </w:r>
      <w:r w:rsidRPr="00565877">
        <w:rPr>
          <w:rFonts w:eastAsia="Times New Roman"/>
          <w:bCs/>
          <w:color w:val="000000"/>
          <w:szCs w:val="24"/>
          <w:lang w:eastAsia="lt-LT"/>
        </w:rPr>
        <w:t xml:space="preserve">irškinimo sistemos ligomis </w:t>
      </w:r>
      <w:r>
        <w:rPr>
          <w:rFonts w:eastAsia="Times New Roman"/>
          <w:bCs/>
          <w:color w:val="000000"/>
          <w:szCs w:val="24"/>
          <w:lang w:eastAsia="lt-LT"/>
        </w:rPr>
        <w:t>dažniau sirgo</w:t>
      </w:r>
      <w:r w:rsidRPr="00565877">
        <w:rPr>
          <w:rFonts w:eastAsia="Times New Roman"/>
          <w:bCs/>
          <w:color w:val="000000"/>
          <w:szCs w:val="24"/>
          <w:lang w:eastAsia="lt-LT"/>
        </w:rPr>
        <w:t xml:space="preserve"> 65 metų amžiaus ir vyresni</w:t>
      </w:r>
      <w:r>
        <w:rPr>
          <w:rFonts w:eastAsia="Times New Roman"/>
          <w:bCs/>
          <w:color w:val="000000"/>
          <w:szCs w:val="24"/>
          <w:lang w:eastAsia="lt-LT"/>
        </w:rPr>
        <w:t xml:space="preserve"> gyventojai (2010 m. – 97,6/1000 gyv.)</w:t>
      </w:r>
      <w:r w:rsidRPr="003C139B">
        <w:rPr>
          <w:rFonts w:eastAsia="Times New Roman"/>
          <w:bCs/>
          <w:color w:val="000000"/>
          <w:szCs w:val="24"/>
          <w:lang w:eastAsia="lt-LT"/>
        </w:rPr>
        <w:t xml:space="preserve"> </w:t>
      </w:r>
      <w:r w:rsidRPr="00565877">
        <w:rPr>
          <w:rFonts w:eastAsia="Times New Roman"/>
          <w:bCs/>
          <w:color w:val="000000"/>
          <w:szCs w:val="24"/>
          <w:lang w:eastAsia="lt-LT"/>
        </w:rPr>
        <w:t>bei</w:t>
      </w:r>
      <w:r>
        <w:rPr>
          <w:rFonts w:eastAsia="Times New Roman"/>
          <w:bCs/>
          <w:color w:val="000000"/>
          <w:szCs w:val="24"/>
          <w:lang w:eastAsia="lt-LT"/>
        </w:rPr>
        <w:t xml:space="preserve"> 0 – 17 metų amžiaus asmenys</w:t>
      </w:r>
      <w:r w:rsidRPr="00565877">
        <w:rPr>
          <w:rFonts w:eastAsia="Times New Roman"/>
          <w:bCs/>
          <w:color w:val="000000"/>
          <w:szCs w:val="24"/>
          <w:lang w:eastAsia="lt-LT"/>
        </w:rPr>
        <w:t xml:space="preserve"> </w:t>
      </w:r>
      <w:r>
        <w:rPr>
          <w:rFonts w:eastAsia="Times New Roman"/>
          <w:bCs/>
          <w:color w:val="000000"/>
          <w:szCs w:val="24"/>
          <w:lang w:eastAsia="lt-LT"/>
        </w:rPr>
        <w:t>(2010 m. – 85,8/1000 gyv.)</w:t>
      </w:r>
      <w:r w:rsidRPr="00565877">
        <w:rPr>
          <w:rFonts w:eastAsia="Times New Roman"/>
          <w:bCs/>
          <w:color w:val="000000"/>
          <w:szCs w:val="24"/>
          <w:lang w:eastAsia="lt-LT"/>
        </w:rPr>
        <w:t>. Mažiausias sergamumas šiomis ligomis stebimas 18 – 44 metų amžiaus asmenų grupėje</w:t>
      </w:r>
      <w:r>
        <w:rPr>
          <w:rFonts w:eastAsia="Times New Roman"/>
          <w:bCs/>
          <w:color w:val="000000"/>
          <w:szCs w:val="24"/>
          <w:lang w:eastAsia="lt-LT"/>
        </w:rPr>
        <w:t xml:space="preserve"> (2010 m. – 45,9/1000 gyv.) </w:t>
      </w:r>
      <w:r w:rsidRPr="00DF63D9">
        <w:rPr>
          <w:rFonts w:eastAsia="Times New Roman"/>
          <w:bCs/>
          <w:color w:val="000000"/>
          <w:szCs w:val="24"/>
          <w:lang w:eastAsia="lt-LT"/>
        </w:rPr>
        <w:t>(3 pav.)</w:t>
      </w:r>
      <w:r>
        <w:rPr>
          <w:rFonts w:eastAsia="Times New Roman"/>
          <w:bCs/>
          <w:color w:val="000000"/>
          <w:szCs w:val="24"/>
          <w:lang w:eastAsia="lt-LT"/>
        </w:rPr>
        <w:t>.</w:t>
      </w:r>
    </w:p>
    <w:p w:rsidR="000E4731" w:rsidRDefault="000E4731" w:rsidP="000E4731">
      <w:pPr>
        <w:jc w:val="both"/>
        <w:rPr>
          <w:rFonts w:ascii="Bookman Old Style" w:hAnsi="Bookman Old Style"/>
          <w:i/>
          <w:szCs w:val="24"/>
        </w:rPr>
      </w:pPr>
      <w:r w:rsidRPr="00434CA6">
        <w:rPr>
          <w:rFonts w:ascii="Bookman Old Style" w:hAnsi="Bookman Old Style"/>
          <w:i/>
          <w:szCs w:val="24"/>
          <w:lang w:val="lt-LT" w:eastAsia="lt-LT"/>
        </w:rPr>
        <w:drawing>
          <wp:inline distT="0" distB="0" distL="0" distR="0">
            <wp:extent cx="6029325" cy="2743200"/>
            <wp:effectExtent l="19050" t="0" r="9525" b="0"/>
            <wp:docPr id="10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0E4731" w:rsidRPr="00AF7D3D" w:rsidRDefault="000E4731" w:rsidP="000E4731">
      <w:pPr>
        <w:jc w:val="both"/>
        <w:rPr>
          <w:rFonts w:eastAsia="Times New Roman"/>
          <w:b/>
          <w:bCs/>
          <w:color w:val="000000"/>
          <w:sz w:val="20"/>
          <w:szCs w:val="20"/>
          <w:lang w:eastAsia="lt-LT"/>
        </w:rPr>
      </w:pPr>
      <w:r w:rsidRPr="00314CD6">
        <w:rPr>
          <w:rFonts w:eastAsia="Times New Roman"/>
          <w:b/>
          <w:bCs/>
          <w:color w:val="000000"/>
          <w:sz w:val="20"/>
          <w:szCs w:val="20"/>
          <w:lang w:eastAsia="lt-LT"/>
        </w:rPr>
        <w:t xml:space="preserve">3 pav. Asmenų, sergančių virškinimo sistemos ligomis, skaičius 1000 Vilniaus </w:t>
      </w:r>
      <w:r>
        <w:rPr>
          <w:rFonts w:eastAsia="Times New Roman"/>
          <w:b/>
          <w:bCs/>
          <w:color w:val="000000"/>
          <w:sz w:val="20"/>
          <w:szCs w:val="20"/>
          <w:lang w:eastAsia="lt-LT"/>
        </w:rPr>
        <w:t>rajono</w:t>
      </w:r>
      <w:r w:rsidRPr="00314CD6">
        <w:rPr>
          <w:rFonts w:eastAsia="Times New Roman"/>
          <w:b/>
          <w:bCs/>
          <w:color w:val="000000"/>
          <w:sz w:val="20"/>
          <w:szCs w:val="20"/>
          <w:lang w:eastAsia="lt-LT"/>
        </w:rPr>
        <w:t xml:space="preserve"> </w:t>
      </w:r>
      <w:r>
        <w:rPr>
          <w:rFonts w:eastAsia="Times New Roman"/>
          <w:b/>
          <w:bCs/>
          <w:color w:val="000000"/>
          <w:sz w:val="20"/>
          <w:szCs w:val="20"/>
          <w:lang w:eastAsia="lt-LT"/>
        </w:rPr>
        <w:t>gyventojų  2001 – 2010 metais pagal amžiaus grupes</w:t>
      </w:r>
    </w:p>
    <w:p w:rsidR="00A05730" w:rsidRDefault="00A05730" w:rsidP="00CF4A19">
      <w:pPr>
        <w:jc w:val="center"/>
        <w:rPr>
          <w:b/>
          <w:sz w:val="28"/>
          <w:szCs w:val="28"/>
        </w:rPr>
      </w:pPr>
    </w:p>
    <w:p w:rsidR="00A05730" w:rsidRDefault="00A05730" w:rsidP="00CF4A19">
      <w:pPr>
        <w:jc w:val="center"/>
        <w:rPr>
          <w:b/>
          <w:sz w:val="28"/>
          <w:szCs w:val="28"/>
        </w:rPr>
      </w:pPr>
    </w:p>
    <w:p w:rsidR="00A05730" w:rsidRPr="00C544DD" w:rsidRDefault="00A05730" w:rsidP="00C544DD">
      <w:pPr>
        <w:jc w:val="center"/>
        <w:rPr>
          <w:b/>
          <w:sz w:val="28"/>
          <w:szCs w:val="28"/>
        </w:rPr>
      </w:pPr>
      <w:r w:rsidRPr="00A05730">
        <w:rPr>
          <w:b/>
          <w:sz w:val="28"/>
          <w:szCs w:val="28"/>
        </w:rPr>
        <w:lastRenderedPageBreak/>
        <w:t>Endokrininės sistemos</w:t>
      </w:r>
      <w:r>
        <w:rPr>
          <w:b/>
          <w:sz w:val="28"/>
          <w:szCs w:val="28"/>
        </w:rPr>
        <w:t xml:space="preserve"> ligos</w:t>
      </w:r>
    </w:p>
    <w:p w:rsidR="00A05730" w:rsidRDefault="00A05730" w:rsidP="00A05730">
      <w:pPr>
        <w:autoSpaceDE w:val="0"/>
        <w:autoSpaceDN w:val="0"/>
        <w:adjustRightInd w:val="0"/>
        <w:ind w:firstLine="567"/>
        <w:jc w:val="both"/>
        <w:rPr>
          <w:szCs w:val="24"/>
        </w:rPr>
      </w:pPr>
      <w:r>
        <w:rPr>
          <w:szCs w:val="24"/>
        </w:rPr>
        <w:t>Asmenų, sergančių</w:t>
      </w:r>
      <w:r w:rsidRPr="006E448D">
        <w:rPr>
          <w:szCs w:val="24"/>
        </w:rPr>
        <w:t xml:space="preserve"> endokrini</w:t>
      </w:r>
      <w:r>
        <w:rPr>
          <w:szCs w:val="24"/>
        </w:rPr>
        <w:t>nės sistemos ligomis, iš jų cukriniu diabetu (CD), skaičius 2001 – 2010</w:t>
      </w:r>
      <w:r w:rsidRPr="006E448D">
        <w:rPr>
          <w:szCs w:val="24"/>
        </w:rPr>
        <w:t xml:space="preserve"> metų laikotarpiu Vilniaus </w:t>
      </w:r>
      <w:r>
        <w:rPr>
          <w:szCs w:val="24"/>
        </w:rPr>
        <w:t>rajone</w:t>
      </w:r>
      <w:r w:rsidRPr="006E448D">
        <w:rPr>
          <w:szCs w:val="24"/>
        </w:rPr>
        <w:t xml:space="preserve"> kaip ir visos Lietuvos mastu tolygiai didėjo</w:t>
      </w:r>
      <w:r>
        <w:rPr>
          <w:szCs w:val="24"/>
        </w:rPr>
        <w:t xml:space="preserve"> (1 pav.)</w:t>
      </w:r>
      <w:r w:rsidRPr="006E448D">
        <w:rPr>
          <w:szCs w:val="24"/>
        </w:rPr>
        <w:t>.</w:t>
      </w:r>
      <w:r>
        <w:rPr>
          <w:szCs w:val="24"/>
        </w:rPr>
        <w:t xml:space="preserve"> </w:t>
      </w:r>
      <w:r w:rsidRPr="005E4623">
        <w:rPr>
          <w:szCs w:val="24"/>
        </w:rPr>
        <w:t xml:space="preserve">Vilniaus </w:t>
      </w:r>
      <w:r>
        <w:rPr>
          <w:szCs w:val="24"/>
        </w:rPr>
        <w:t>rajone</w:t>
      </w:r>
      <w:r w:rsidRPr="005E4623">
        <w:rPr>
          <w:szCs w:val="24"/>
        </w:rPr>
        <w:t xml:space="preserve"> 2010 m. 1000 gyventojų teko </w:t>
      </w:r>
      <w:r>
        <w:rPr>
          <w:szCs w:val="24"/>
        </w:rPr>
        <w:t>57,1</w:t>
      </w:r>
      <w:r w:rsidRPr="005E4623">
        <w:rPr>
          <w:szCs w:val="24"/>
        </w:rPr>
        <w:t xml:space="preserve"> </w:t>
      </w:r>
      <w:r>
        <w:rPr>
          <w:szCs w:val="24"/>
        </w:rPr>
        <w:t>endokrininės</w:t>
      </w:r>
      <w:r w:rsidRPr="005E4623">
        <w:rPr>
          <w:szCs w:val="24"/>
        </w:rPr>
        <w:t xml:space="preserve"> sistemos ligomis sergantys asmenys (Lietuvoje – </w:t>
      </w:r>
      <w:r>
        <w:rPr>
          <w:szCs w:val="24"/>
        </w:rPr>
        <w:t>80,3</w:t>
      </w:r>
      <w:r w:rsidRPr="005E4623">
        <w:rPr>
          <w:szCs w:val="24"/>
        </w:rPr>
        <w:t xml:space="preserve">/1000 gyv.), tuo tarpu 2001 m. jų buvo </w:t>
      </w:r>
      <w:r>
        <w:rPr>
          <w:szCs w:val="24"/>
        </w:rPr>
        <w:t>1,5</w:t>
      </w:r>
      <w:r w:rsidRPr="005E4623">
        <w:rPr>
          <w:szCs w:val="24"/>
        </w:rPr>
        <w:t xml:space="preserve"> karto mažiau – </w:t>
      </w:r>
      <w:r>
        <w:rPr>
          <w:szCs w:val="24"/>
        </w:rPr>
        <w:t>38,3</w:t>
      </w:r>
      <w:r w:rsidRPr="005E4623">
        <w:rPr>
          <w:szCs w:val="24"/>
        </w:rPr>
        <w:t xml:space="preserve">/1000 gyv. (Lietuvoje – </w:t>
      </w:r>
      <w:r>
        <w:rPr>
          <w:szCs w:val="24"/>
        </w:rPr>
        <w:t>2,4 karto mažiau ir siekė 33,8</w:t>
      </w:r>
      <w:r w:rsidRPr="005E4623">
        <w:rPr>
          <w:szCs w:val="24"/>
        </w:rPr>
        <w:t xml:space="preserve">/1000 gyv.). </w:t>
      </w:r>
    </w:p>
    <w:p w:rsidR="00A05730" w:rsidRPr="00A05730" w:rsidRDefault="00A05730" w:rsidP="00A05730">
      <w:pPr>
        <w:autoSpaceDE w:val="0"/>
        <w:autoSpaceDN w:val="0"/>
        <w:adjustRightInd w:val="0"/>
        <w:ind w:firstLine="567"/>
        <w:jc w:val="both"/>
        <w:rPr>
          <w:szCs w:val="24"/>
        </w:rPr>
      </w:pPr>
      <w:r>
        <w:rPr>
          <w:szCs w:val="24"/>
        </w:rPr>
        <w:t>Vilniaus rajone 2010 m. endokrininės sistemos ligų grupėje asmenys, sergantys cukriniu diabetu sudarė 33,6 proc. 2001 – 2010 metų laikotarpiu cukriniu diabetu sergančių asmenų skaičius nuolat didėjo. 2010 metais 1000 sostinės gyventojų teko 19,2 sergantieji</w:t>
      </w:r>
      <w:r w:rsidRPr="009F060F">
        <w:rPr>
          <w:szCs w:val="24"/>
        </w:rPr>
        <w:t xml:space="preserve"> </w:t>
      </w:r>
      <w:r>
        <w:rPr>
          <w:szCs w:val="24"/>
        </w:rPr>
        <w:t>CD, Lietuvoje jų buvo šiek tiek daugiau – 23,1/1000 gyv. (1 pav.).</w:t>
      </w:r>
    </w:p>
    <w:p w:rsidR="00A05730" w:rsidRDefault="00A05730" w:rsidP="00A05730">
      <w:pPr>
        <w:rPr>
          <w:rFonts w:ascii="Bookman Old Style" w:hAnsi="Bookman Old Style"/>
        </w:rPr>
      </w:pPr>
      <w:r w:rsidRPr="00664E30">
        <w:rPr>
          <w:rFonts w:ascii="Bookman Old Style" w:hAnsi="Bookman Old Style"/>
          <w:lang w:val="lt-LT" w:eastAsia="lt-LT"/>
        </w:rPr>
        <w:drawing>
          <wp:inline distT="0" distB="0" distL="0" distR="0">
            <wp:extent cx="6119495" cy="2666285"/>
            <wp:effectExtent l="19050" t="0" r="14605" b="715"/>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A05730" w:rsidRPr="00A05730" w:rsidRDefault="00A05730" w:rsidP="00A05730">
      <w:pPr>
        <w:jc w:val="both"/>
        <w:rPr>
          <w:b/>
          <w:sz w:val="20"/>
          <w:szCs w:val="20"/>
        </w:rPr>
      </w:pPr>
      <w:r w:rsidRPr="00132C2D">
        <w:rPr>
          <w:b/>
          <w:sz w:val="20"/>
          <w:szCs w:val="20"/>
        </w:rPr>
        <w:t xml:space="preserve">1 pav. Asmenų, sergančių endokrininės sistemos ligomis, iš jų cukriniu diabetu, skaičiaus pokyčiai </w:t>
      </w:r>
      <w:r>
        <w:rPr>
          <w:b/>
          <w:sz w:val="20"/>
          <w:szCs w:val="20"/>
        </w:rPr>
        <w:t xml:space="preserve">Vilniaus r. ir lietuvoje </w:t>
      </w:r>
      <w:r w:rsidRPr="00132C2D">
        <w:rPr>
          <w:b/>
          <w:sz w:val="20"/>
          <w:szCs w:val="20"/>
        </w:rPr>
        <w:t>2001 – 2010 m.</w:t>
      </w:r>
    </w:p>
    <w:p w:rsidR="00A05730" w:rsidRPr="000C5E02" w:rsidRDefault="00A05730" w:rsidP="00A05730">
      <w:pPr>
        <w:ind w:firstLine="567"/>
        <w:jc w:val="both"/>
        <w:rPr>
          <w:szCs w:val="24"/>
        </w:rPr>
      </w:pPr>
      <w:r w:rsidRPr="000C5E02">
        <w:rPr>
          <w:szCs w:val="24"/>
        </w:rPr>
        <w:t xml:space="preserve">Vilniaus </w:t>
      </w:r>
      <w:r>
        <w:rPr>
          <w:szCs w:val="24"/>
        </w:rPr>
        <w:t>rajon</w:t>
      </w:r>
      <w:r w:rsidRPr="000C5E02">
        <w:rPr>
          <w:szCs w:val="24"/>
        </w:rPr>
        <w:t xml:space="preserve">e 2010 m. iš viso buvo užregistruoti </w:t>
      </w:r>
      <w:r>
        <w:rPr>
          <w:szCs w:val="24"/>
        </w:rPr>
        <w:t>6694</w:t>
      </w:r>
      <w:r w:rsidRPr="000C5E02">
        <w:rPr>
          <w:szCs w:val="24"/>
        </w:rPr>
        <w:t xml:space="preserve"> susirgimai endokrininės sistemos ligomis (Lietuvoje – 318421), </w:t>
      </w:r>
      <w:r>
        <w:rPr>
          <w:szCs w:val="24"/>
        </w:rPr>
        <w:t xml:space="preserve">iš jų, cukriniu diabetu </w:t>
      </w:r>
      <w:r w:rsidRPr="000C5E02">
        <w:rPr>
          <w:szCs w:val="24"/>
        </w:rPr>
        <w:t xml:space="preserve">– </w:t>
      </w:r>
      <w:r>
        <w:rPr>
          <w:szCs w:val="24"/>
        </w:rPr>
        <w:t>1856</w:t>
      </w:r>
      <w:r w:rsidRPr="000C5E02">
        <w:rPr>
          <w:szCs w:val="24"/>
        </w:rPr>
        <w:t xml:space="preserve"> atvejai (Lietuvoje – 75777).</w:t>
      </w:r>
      <w:r>
        <w:rPr>
          <w:szCs w:val="24"/>
        </w:rPr>
        <w:t xml:space="preserve"> </w:t>
      </w:r>
      <w:r w:rsidRPr="000C5E02">
        <w:rPr>
          <w:szCs w:val="24"/>
        </w:rPr>
        <w:t xml:space="preserve">2010 metais 1000 gyventojų teko </w:t>
      </w:r>
      <w:r>
        <w:rPr>
          <w:szCs w:val="24"/>
        </w:rPr>
        <w:t>69,6</w:t>
      </w:r>
      <w:r w:rsidRPr="000C5E02">
        <w:rPr>
          <w:szCs w:val="24"/>
        </w:rPr>
        <w:t xml:space="preserve"> endokrininės sistemos ligų atvejai (Lietuvoje – 96,9), 2009 metais jų b</w:t>
      </w:r>
      <w:r>
        <w:rPr>
          <w:szCs w:val="24"/>
        </w:rPr>
        <w:t>uvo užregistruota šiek tiek mažiau – 66,6</w:t>
      </w:r>
      <w:r w:rsidRPr="000C5E02">
        <w:rPr>
          <w:szCs w:val="24"/>
        </w:rPr>
        <w:t xml:space="preserve"> atv./1000 gyv. (Lietuvos – 87,3). </w:t>
      </w:r>
    </w:p>
    <w:p w:rsidR="00A05730" w:rsidRPr="000C5E02" w:rsidRDefault="00A05730" w:rsidP="00A05730">
      <w:pPr>
        <w:autoSpaceDE w:val="0"/>
        <w:autoSpaceDN w:val="0"/>
        <w:adjustRightInd w:val="0"/>
        <w:ind w:firstLine="567"/>
        <w:jc w:val="both"/>
        <w:rPr>
          <w:szCs w:val="24"/>
        </w:rPr>
      </w:pPr>
      <w:r w:rsidRPr="000C5E02">
        <w:rPr>
          <w:szCs w:val="24"/>
        </w:rPr>
        <w:t xml:space="preserve">Vilniaus </w:t>
      </w:r>
      <w:r>
        <w:rPr>
          <w:szCs w:val="24"/>
        </w:rPr>
        <w:t>rajon</w:t>
      </w:r>
      <w:r w:rsidRPr="000C5E02">
        <w:rPr>
          <w:szCs w:val="24"/>
        </w:rPr>
        <w:t xml:space="preserve">e 2010 metais naujų endokrininės sistemos ligų </w:t>
      </w:r>
      <w:r>
        <w:rPr>
          <w:szCs w:val="24"/>
        </w:rPr>
        <w:t xml:space="preserve">(1950 naujų atv.), iš jų, cukrinio diabeto (256 nauji atv.) </w:t>
      </w:r>
      <w:r w:rsidRPr="000C5E02">
        <w:rPr>
          <w:szCs w:val="24"/>
        </w:rPr>
        <w:t xml:space="preserve">buvo užregistruota </w:t>
      </w:r>
      <w:r>
        <w:rPr>
          <w:szCs w:val="24"/>
        </w:rPr>
        <w:t>daugiau</w:t>
      </w:r>
      <w:r w:rsidRPr="000C5E02">
        <w:rPr>
          <w:szCs w:val="24"/>
        </w:rPr>
        <w:t xml:space="preserve"> </w:t>
      </w:r>
      <w:r>
        <w:rPr>
          <w:szCs w:val="24"/>
        </w:rPr>
        <w:t>negu 2009 metais (endokrininių ligų – 1873 nauji atv., iš jų cukrinio diabeto – 241 nauji atv.). 2010 m.</w:t>
      </w:r>
      <w:r w:rsidRPr="000C5E02">
        <w:rPr>
          <w:szCs w:val="24"/>
        </w:rPr>
        <w:t xml:space="preserve"> </w:t>
      </w:r>
      <w:r>
        <w:rPr>
          <w:szCs w:val="24"/>
        </w:rPr>
        <w:t>šiame rajone</w:t>
      </w:r>
      <w:r w:rsidRPr="000C5E02">
        <w:rPr>
          <w:szCs w:val="24"/>
        </w:rPr>
        <w:t xml:space="preserve"> sergamumas endokrininės sistemos ligomis 1000 gyventojų siekė </w:t>
      </w:r>
      <w:r>
        <w:rPr>
          <w:szCs w:val="24"/>
        </w:rPr>
        <w:t>20,</w:t>
      </w:r>
      <w:r w:rsidRPr="000C5E02">
        <w:rPr>
          <w:szCs w:val="24"/>
        </w:rPr>
        <w:t xml:space="preserve">3 atvejus (2009 metais – </w:t>
      </w:r>
      <w:r>
        <w:rPr>
          <w:szCs w:val="24"/>
        </w:rPr>
        <w:t>19,4</w:t>
      </w:r>
      <w:r w:rsidRPr="000C5E02">
        <w:rPr>
          <w:szCs w:val="24"/>
        </w:rPr>
        <w:t xml:space="preserve">), CD – </w:t>
      </w:r>
      <w:r>
        <w:rPr>
          <w:szCs w:val="24"/>
        </w:rPr>
        <w:t>2,7</w:t>
      </w:r>
      <w:r w:rsidRPr="000C5E02">
        <w:rPr>
          <w:szCs w:val="24"/>
        </w:rPr>
        <w:t xml:space="preserve"> atvejus (2009 metais – </w:t>
      </w:r>
      <w:r>
        <w:rPr>
          <w:szCs w:val="24"/>
        </w:rPr>
        <w:t>2,5</w:t>
      </w:r>
      <w:r w:rsidRPr="000C5E02">
        <w:rPr>
          <w:szCs w:val="24"/>
        </w:rPr>
        <w:t>).</w:t>
      </w:r>
    </w:p>
    <w:p w:rsidR="00A05730" w:rsidRPr="000C5E02" w:rsidRDefault="00A05730" w:rsidP="00A05730">
      <w:pPr>
        <w:autoSpaceDE w:val="0"/>
        <w:autoSpaceDN w:val="0"/>
        <w:adjustRightInd w:val="0"/>
        <w:ind w:firstLine="567"/>
        <w:jc w:val="both"/>
        <w:rPr>
          <w:rFonts w:eastAsia="TimesNewRomanPSMT"/>
          <w:szCs w:val="24"/>
        </w:rPr>
      </w:pPr>
      <w:r w:rsidRPr="000C5E02">
        <w:rPr>
          <w:rFonts w:eastAsia="TimesNewRomanPSMT"/>
          <w:szCs w:val="24"/>
        </w:rPr>
        <w:t>Cukrinis diabetas – sparčiai plintanti liga. Kasmet vis daugiau diagnozuojama naujų šios ligos atvejų. Dalis žmonių net neįtaria, kad serga cukriniu diabetu, nors jau kenčia nuo jo sukeltų komplikacijų.</w:t>
      </w:r>
    </w:p>
    <w:p w:rsidR="00A05730" w:rsidRPr="000C5E02" w:rsidRDefault="00A05730" w:rsidP="00A05730">
      <w:pPr>
        <w:ind w:firstLine="567"/>
        <w:jc w:val="both"/>
        <w:rPr>
          <w:szCs w:val="24"/>
        </w:rPr>
      </w:pPr>
      <w:r w:rsidRPr="000C5E02">
        <w:rPr>
          <w:szCs w:val="24"/>
        </w:rPr>
        <w:t xml:space="preserve">Vilniaus </w:t>
      </w:r>
      <w:r>
        <w:rPr>
          <w:szCs w:val="24"/>
        </w:rPr>
        <w:t>rajone</w:t>
      </w:r>
      <w:r w:rsidRPr="000C5E02">
        <w:rPr>
          <w:szCs w:val="24"/>
        </w:rPr>
        <w:t xml:space="preserve"> endokrininės sistemos ligomis moterys serga dažniau negu vyrai (2 pav.). 2010 metų duomenimis 1000 vyrų teko </w:t>
      </w:r>
      <w:r>
        <w:rPr>
          <w:szCs w:val="24"/>
        </w:rPr>
        <w:t>31,2</w:t>
      </w:r>
      <w:r w:rsidRPr="000C5E02">
        <w:rPr>
          <w:szCs w:val="24"/>
        </w:rPr>
        <w:t xml:space="preserve"> sergantieji, tuo tarpu 1000 moterų 2,</w:t>
      </w:r>
      <w:r>
        <w:rPr>
          <w:szCs w:val="24"/>
        </w:rPr>
        <w:t>6</w:t>
      </w:r>
      <w:r w:rsidRPr="000C5E02">
        <w:rPr>
          <w:szCs w:val="24"/>
        </w:rPr>
        <w:t xml:space="preserve"> karto daugiau – </w:t>
      </w:r>
      <w:r>
        <w:rPr>
          <w:szCs w:val="24"/>
        </w:rPr>
        <w:t>81,1 serganti moteris</w:t>
      </w:r>
      <w:r w:rsidRPr="000C5E02">
        <w:rPr>
          <w:szCs w:val="24"/>
        </w:rPr>
        <w:t>.</w:t>
      </w:r>
      <w:r>
        <w:rPr>
          <w:szCs w:val="24"/>
        </w:rPr>
        <w:t xml:space="preserve"> Tai susiję su žymiai didesniu moterų sergamumu skydliaukės ligomis.</w:t>
      </w:r>
    </w:p>
    <w:p w:rsidR="00A05730" w:rsidRPr="00A05730" w:rsidRDefault="00A05730" w:rsidP="00A05730">
      <w:pPr>
        <w:ind w:firstLine="567"/>
        <w:jc w:val="both"/>
        <w:rPr>
          <w:szCs w:val="24"/>
        </w:rPr>
      </w:pPr>
      <w:r w:rsidRPr="000C5E02">
        <w:rPr>
          <w:szCs w:val="24"/>
        </w:rPr>
        <w:lastRenderedPageBreak/>
        <w:t xml:space="preserve">2010 metais </w:t>
      </w:r>
      <w:r>
        <w:rPr>
          <w:szCs w:val="24"/>
        </w:rPr>
        <w:t>cukriniu diabetu</w:t>
      </w:r>
      <w:r w:rsidRPr="000C5E02">
        <w:rPr>
          <w:szCs w:val="24"/>
        </w:rPr>
        <w:t xml:space="preserve"> </w:t>
      </w:r>
      <w:r>
        <w:rPr>
          <w:szCs w:val="24"/>
        </w:rPr>
        <w:t xml:space="preserve">sergančių moterų buvo </w:t>
      </w:r>
      <w:r w:rsidRPr="000C5E02">
        <w:rPr>
          <w:szCs w:val="24"/>
        </w:rPr>
        <w:t xml:space="preserve">daugiau negu vyrų, atitinkamai </w:t>
      </w:r>
      <w:r>
        <w:rPr>
          <w:szCs w:val="24"/>
        </w:rPr>
        <w:t>23,9</w:t>
      </w:r>
      <w:r w:rsidRPr="000C5E02">
        <w:rPr>
          <w:szCs w:val="24"/>
        </w:rPr>
        <w:t xml:space="preserve"> ir </w:t>
      </w:r>
      <w:r>
        <w:rPr>
          <w:szCs w:val="24"/>
        </w:rPr>
        <w:t>14 sergančiųjų</w:t>
      </w:r>
      <w:r w:rsidRPr="000C5E02">
        <w:rPr>
          <w:szCs w:val="24"/>
        </w:rPr>
        <w:t xml:space="preserve"> 1000 gyventojų. </w:t>
      </w:r>
    </w:p>
    <w:p w:rsidR="00A05730" w:rsidRDefault="00A05730" w:rsidP="00A05730">
      <w:pPr>
        <w:autoSpaceDE w:val="0"/>
        <w:autoSpaceDN w:val="0"/>
        <w:adjustRightInd w:val="0"/>
        <w:jc w:val="both"/>
        <w:rPr>
          <w:rFonts w:ascii="Bookman Old Style" w:eastAsia="TimesNewRomanPSMT" w:hAnsi="Bookman Old Style"/>
          <w:szCs w:val="24"/>
        </w:rPr>
      </w:pPr>
      <w:r w:rsidRPr="00664E30">
        <w:rPr>
          <w:rFonts w:ascii="Bookman Old Style" w:eastAsia="TimesNewRomanPSMT" w:hAnsi="Bookman Old Style"/>
          <w:szCs w:val="24"/>
          <w:lang w:val="lt-LT" w:eastAsia="lt-LT"/>
        </w:rPr>
        <w:drawing>
          <wp:inline distT="0" distB="0" distL="0" distR="0">
            <wp:extent cx="6119495" cy="2662258"/>
            <wp:effectExtent l="19050" t="0" r="14605" b="4742"/>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A05730" w:rsidRPr="00A05730" w:rsidRDefault="00A05730" w:rsidP="00A05730">
      <w:pPr>
        <w:jc w:val="both"/>
        <w:rPr>
          <w:b/>
          <w:sz w:val="20"/>
          <w:szCs w:val="20"/>
        </w:rPr>
      </w:pPr>
      <w:r w:rsidRPr="00607DBF">
        <w:rPr>
          <w:b/>
          <w:sz w:val="20"/>
          <w:szCs w:val="20"/>
        </w:rPr>
        <w:t>2 pav.</w:t>
      </w:r>
      <w:r>
        <w:rPr>
          <w:b/>
          <w:sz w:val="20"/>
          <w:szCs w:val="20"/>
        </w:rPr>
        <w:t xml:space="preserve"> Sergančiųjų</w:t>
      </w:r>
      <w:r w:rsidRPr="00607DBF">
        <w:rPr>
          <w:b/>
          <w:sz w:val="20"/>
          <w:szCs w:val="20"/>
        </w:rPr>
        <w:t xml:space="preserve"> endokrininės sistemos lig</w:t>
      </w:r>
      <w:r>
        <w:rPr>
          <w:b/>
          <w:sz w:val="20"/>
          <w:szCs w:val="20"/>
        </w:rPr>
        <w:t>omis, iš jų CD skaičius 1000 gyv.</w:t>
      </w:r>
      <w:r w:rsidRPr="00607DBF">
        <w:rPr>
          <w:b/>
          <w:sz w:val="20"/>
          <w:szCs w:val="20"/>
        </w:rPr>
        <w:t xml:space="preserve"> pagal lytį Vilniaus </w:t>
      </w:r>
      <w:r>
        <w:rPr>
          <w:b/>
          <w:sz w:val="20"/>
          <w:szCs w:val="20"/>
        </w:rPr>
        <w:t>rajone</w:t>
      </w:r>
      <w:r w:rsidRPr="00607DBF">
        <w:rPr>
          <w:b/>
          <w:sz w:val="20"/>
          <w:szCs w:val="20"/>
        </w:rPr>
        <w:t xml:space="preserve"> 2001-2010 m.</w:t>
      </w:r>
    </w:p>
    <w:p w:rsidR="00A05730" w:rsidRPr="00A05730" w:rsidRDefault="00A05730" w:rsidP="00A05730">
      <w:pPr>
        <w:autoSpaceDE w:val="0"/>
        <w:autoSpaceDN w:val="0"/>
        <w:adjustRightInd w:val="0"/>
        <w:ind w:firstLine="567"/>
        <w:jc w:val="both"/>
        <w:rPr>
          <w:rFonts w:eastAsia="TimesNewRomanPSMT"/>
          <w:szCs w:val="24"/>
        </w:rPr>
      </w:pPr>
      <w:r>
        <w:rPr>
          <w:rFonts w:eastAsia="TimesNewRomanPSMT"/>
          <w:szCs w:val="24"/>
        </w:rPr>
        <w:t>2010 metų duomenimis, endokrininės sistemos ligomis daugiausiai serga vyresnio amžiaus žmonės: šiomis ligomis sirgo 108,2 iš tūkstančio 65 metų amžiaus ir vyresnių Vilniaus rajono gyventojų, 45 – 64 metų amžiaus  – 93,3/1000 gyv., 18 – 44 metų amžiaus – 35,2/1000 gyv., vaikai (0-17 m.) – 22,2/1000 gyv.  (3 pav.).</w:t>
      </w:r>
    </w:p>
    <w:p w:rsidR="00A05730" w:rsidRDefault="00A05730" w:rsidP="00A05730">
      <w:pPr>
        <w:autoSpaceDE w:val="0"/>
        <w:autoSpaceDN w:val="0"/>
        <w:adjustRightInd w:val="0"/>
        <w:jc w:val="both"/>
        <w:rPr>
          <w:rFonts w:ascii="Bookman Old Style" w:eastAsia="TimesNewRomanPSMT" w:hAnsi="Bookman Old Style"/>
          <w:szCs w:val="24"/>
        </w:rPr>
      </w:pPr>
      <w:r w:rsidRPr="00664E30">
        <w:rPr>
          <w:rFonts w:ascii="Bookman Old Style" w:eastAsia="TimesNewRomanPSMT" w:hAnsi="Bookman Old Style"/>
          <w:szCs w:val="24"/>
          <w:lang w:val="lt-LT" w:eastAsia="lt-LT"/>
        </w:rPr>
        <w:drawing>
          <wp:inline distT="0" distB="0" distL="0" distR="0">
            <wp:extent cx="6119495" cy="2743200"/>
            <wp:effectExtent l="19050" t="0" r="14605"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05730" w:rsidRDefault="00A05730" w:rsidP="00A05730">
      <w:pPr>
        <w:jc w:val="both"/>
        <w:rPr>
          <w:b/>
          <w:sz w:val="20"/>
          <w:szCs w:val="20"/>
        </w:rPr>
      </w:pPr>
      <w:r>
        <w:rPr>
          <w:b/>
          <w:sz w:val="20"/>
          <w:szCs w:val="20"/>
        </w:rPr>
        <w:t>3</w:t>
      </w:r>
      <w:r w:rsidRPr="00607DBF">
        <w:rPr>
          <w:b/>
          <w:sz w:val="20"/>
          <w:szCs w:val="20"/>
        </w:rPr>
        <w:t xml:space="preserve"> pav.</w:t>
      </w:r>
      <w:r>
        <w:rPr>
          <w:b/>
          <w:sz w:val="20"/>
          <w:szCs w:val="20"/>
        </w:rPr>
        <w:t xml:space="preserve"> Sergančiųjų</w:t>
      </w:r>
      <w:r w:rsidRPr="00607DBF">
        <w:rPr>
          <w:b/>
          <w:sz w:val="20"/>
          <w:szCs w:val="20"/>
        </w:rPr>
        <w:t xml:space="preserve"> endokri</w:t>
      </w:r>
      <w:r>
        <w:rPr>
          <w:b/>
          <w:sz w:val="20"/>
          <w:szCs w:val="20"/>
        </w:rPr>
        <w:t>ninės sistemos ligomis skaičius 1000</w:t>
      </w:r>
      <w:r w:rsidRPr="00607DBF">
        <w:rPr>
          <w:b/>
          <w:sz w:val="20"/>
          <w:szCs w:val="20"/>
        </w:rPr>
        <w:t xml:space="preserve"> gyventojų pagal </w:t>
      </w:r>
      <w:r>
        <w:rPr>
          <w:b/>
          <w:sz w:val="20"/>
          <w:szCs w:val="20"/>
        </w:rPr>
        <w:t>amžių</w:t>
      </w:r>
      <w:r w:rsidRPr="00607DBF">
        <w:rPr>
          <w:b/>
          <w:sz w:val="20"/>
          <w:szCs w:val="20"/>
        </w:rPr>
        <w:t xml:space="preserve"> Vilniaus </w:t>
      </w:r>
      <w:r>
        <w:rPr>
          <w:b/>
          <w:sz w:val="20"/>
          <w:szCs w:val="20"/>
        </w:rPr>
        <w:t>rajone</w:t>
      </w:r>
      <w:r w:rsidRPr="00607DBF">
        <w:rPr>
          <w:b/>
          <w:sz w:val="20"/>
          <w:szCs w:val="20"/>
        </w:rPr>
        <w:t xml:space="preserve"> 2001-2010 m.</w:t>
      </w:r>
    </w:p>
    <w:p w:rsidR="00C544DD" w:rsidRDefault="00C544DD" w:rsidP="00A05730">
      <w:pPr>
        <w:jc w:val="both"/>
        <w:rPr>
          <w:b/>
          <w:sz w:val="20"/>
          <w:szCs w:val="20"/>
        </w:rPr>
      </w:pPr>
    </w:p>
    <w:p w:rsidR="00C544DD" w:rsidRPr="00A05730" w:rsidRDefault="00C544DD" w:rsidP="00A05730">
      <w:pPr>
        <w:jc w:val="both"/>
        <w:rPr>
          <w:b/>
          <w:sz w:val="20"/>
          <w:szCs w:val="20"/>
        </w:rPr>
      </w:pPr>
    </w:p>
    <w:p w:rsidR="00CF4A19" w:rsidRPr="000E6850" w:rsidRDefault="00CF4A19" w:rsidP="000E6850">
      <w:pPr>
        <w:jc w:val="center"/>
        <w:rPr>
          <w:b/>
          <w:sz w:val="28"/>
          <w:szCs w:val="28"/>
        </w:rPr>
      </w:pPr>
      <w:r w:rsidRPr="00770F42">
        <w:rPr>
          <w:b/>
          <w:sz w:val="28"/>
          <w:szCs w:val="28"/>
        </w:rPr>
        <w:lastRenderedPageBreak/>
        <w:t xml:space="preserve">Kraujo ir kraujodaros </w:t>
      </w:r>
      <w:r>
        <w:rPr>
          <w:b/>
          <w:sz w:val="28"/>
          <w:szCs w:val="28"/>
        </w:rPr>
        <w:t xml:space="preserve">organų </w:t>
      </w:r>
      <w:r w:rsidRPr="00770F42">
        <w:rPr>
          <w:b/>
          <w:sz w:val="28"/>
          <w:szCs w:val="28"/>
        </w:rPr>
        <w:t>ligos</w:t>
      </w:r>
    </w:p>
    <w:p w:rsidR="00CF4A19" w:rsidRDefault="00CF4A19" w:rsidP="00CF4A19">
      <w:pPr>
        <w:pStyle w:val="BodyText"/>
        <w:spacing w:after="0"/>
        <w:ind w:firstLine="567"/>
        <w:jc w:val="both"/>
        <w:rPr>
          <w:rFonts w:ascii="Bookman Old Style" w:hAnsi="Bookman Old Style"/>
        </w:rPr>
      </w:pPr>
    </w:p>
    <w:p w:rsidR="00CF4A19" w:rsidRDefault="00CF4A19" w:rsidP="00CF4A19">
      <w:pPr>
        <w:ind w:firstLine="567"/>
        <w:jc w:val="both"/>
        <w:rPr>
          <w:szCs w:val="24"/>
        </w:rPr>
      </w:pPr>
      <w:r>
        <w:rPr>
          <w:szCs w:val="24"/>
        </w:rPr>
        <w:t>Vilniaus rajone 2010 m. iš viso buvo užregistruoti 693 susirgimai kraujo ir kraujodaros organų ligomis (Lietuvoje – 33654), 1000 gyventojų teko 7,2 atvejai (Lietuvoje – 10,2), 2009 metais jų buvo užregistruota mažiau –  6,8 atv./1000 gyv. (Lietuvos – 9,1</w:t>
      </w:r>
      <w:r w:rsidRPr="00E35CB3">
        <w:rPr>
          <w:szCs w:val="24"/>
        </w:rPr>
        <w:t>).</w:t>
      </w:r>
    </w:p>
    <w:p w:rsidR="00CF4A19" w:rsidRDefault="00CF4A19" w:rsidP="00CF4A19">
      <w:pPr>
        <w:ind w:firstLine="567"/>
        <w:jc w:val="both"/>
        <w:rPr>
          <w:szCs w:val="24"/>
        </w:rPr>
      </w:pPr>
      <w:r>
        <w:rPr>
          <w:szCs w:val="24"/>
        </w:rPr>
        <w:t>Naujų kraujo ir kraujodaros organų ligų atvejų buvo užregistruota 477 (Lietuvoje – 19294), 1000 gyventojų teko 5 sergantieji (Lietuvoje – 5,9).</w:t>
      </w:r>
    </w:p>
    <w:p w:rsidR="00CF4A19" w:rsidRDefault="00CF4A19" w:rsidP="00CF4A19">
      <w:pPr>
        <w:ind w:firstLine="567"/>
        <w:jc w:val="both"/>
        <w:rPr>
          <w:szCs w:val="24"/>
        </w:rPr>
      </w:pPr>
      <w:r>
        <w:rPr>
          <w:szCs w:val="24"/>
        </w:rPr>
        <w:t>2001 – 2010 m. laikotarpiu daugiausiai Vilniaus rajono gyventojų kraujo ir kraujodaros organų ligomis 910,5/1000 gyv.), iš jų, anemijomis (10/1000 gyv.) sirgo 2006 m. Nuo šių metų sergančiųjų šiomis ligomis, priešingai nei Lietuvoje, sumažėjo (1 pav.).</w:t>
      </w:r>
    </w:p>
    <w:p w:rsidR="00CF4A19" w:rsidRDefault="00CF4A19" w:rsidP="00CF4A19">
      <w:pPr>
        <w:jc w:val="both"/>
        <w:rPr>
          <w:szCs w:val="24"/>
        </w:rPr>
      </w:pPr>
    </w:p>
    <w:p w:rsidR="00CF4A19" w:rsidRPr="00470304" w:rsidRDefault="00CF4A19" w:rsidP="00CF4A19">
      <w:pPr>
        <w:jc w:val="both"/>
        <w:rPr>
          <w:szCs w:val="24"/>
        </w:rPr>
      </w:pPr>
      <w:r w:rsidRPr="00652ED3">
        <w:rPr>
          <w:szCs w:val="24"/>
          <w:lang w:val="lt-LT" w:eastAsia="lt-LT"/>
        </w:rPr>
        <w:drawing>
          <wp:inline distT="0" distB="0" distL="0" distR="0">
            <wp:extent cx="6202680" cy="2456938"/>
            <wp:effectExtent l="19050" t="0" r="26670" b="512"/>
            <wp:docPr id="10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F4A19" w:rsidRPr="009F7CAF" w:rsidRDefault="00CF4A19" w:rsidP="00CF4A19">
      <w:pPr>
        <w:pStyle w:val="BodyText"/>
        <w:spacing w:after="0"/>
        <w:jc w:val="both"/>
        <w:rPr>
          <w:b/>
          <w:sz w:val="20"/>
          <w:szCs w:val="20"/>
        </w:rPr>
      </w:pPr>
      <w:r w:rsidRPr="009F7CAF">
        <w:rPr>
          <w:b/>
          <w:sz w:val="20"/>
          <w:szCs w:val="20"/>
        </w:rPr>
        <w:t xml:space="preserve">1 pav. Asmenų, sergančių kraujo ir kraujodaros organų ligomis, iš jų anemijomis skaičius 1000 gyventojų Vilniaus </w:t>
      </w:r>
      <w:r>
        <w:rPr>
          <w:b/>
          <w:sz w:val="20"/>
          <w:szCs w:val="20"/>
        </w:rPr>
        <w:t>rajon</w:t>
      </w:r>
      <w:r w:rsidRPr="009F7CAF">
        <w:rPr>
          <w:b/>
          <w:sz w:val="20"/>
          <w:szCs w:val="20"/>
        </w:rPr>
        <w:t>e ir Lietuvoje 2001 – 2010 m.</w:t>
      </w:r>
    </w:p>
    <w:p w:rsidR="00CF4A19" w:rsidRDefault="00CF4A19" w:rsidP="00CF4A19">
      <w:pPr>
        <w:jc w:val="both"/>
        <w:rPr>
          <w:rFonts w:ascii="Bookman Old Style" w:hAnsi="Bookman Old Style"/>
          <w:szCs w:val="24"/>
        </w:rPr>
      </w:pPr>
    </w:p>
    <w:p w:rsidR="00CF4A19" w:rsidRDefault="00CF4A19" w:rsidP="00CF4A19">
      <w:pPr>
        <w:ind w:firstLine="567"/>
        <w:jc w:val="both"/>
        <w:rPr>
          <w:szCs w:val="24"/>
        </w:rPr>
      </w:pPr>
      <w:r>
        <w:rPr>
          <w:szCs w:val="24"/>
        </w:rPr>
        <w:t>2010 metais kraujo ir kraujodaros organų ligų sergamumo struktūroje anemijos sudarė 87,1 proc., iš jų, daugiausiai geležies stokos anemijos atvejų (90,4 proc.).</w:t>
      </w:r>
    </w:p>
    <w:p w:rsidR="00CF4A19" w:rsidRDefault="00CF4A19" w:rsidP="00CF4A19">
      <w:pPr>
        <w:ind w:firstLine="567"/>
        <w:jc w:val="both"/>
        <w:rPr>
          <w:szCs w:val="24"/>
        </w:rPr>
      </w:pPr>
      <w:r>
        <w:rPr>
          <w:szCs w:val="24"/>
        </w:rPr>
        <w:t xml:space="preserve">Moterys sudarė 70,4 proc. sergančiųjų anemijomis, vyrų mažiau – 29,6 proc., 1000 gyventojų  teko 3,6 sergantieji anemijomis vyrai ir 8,9 moterys. </w:t>
      </w:r>
    </w:p>
    <w:p w:rsidR="000E6850" w:rsidRPr="000724DE" w:rsidRDefault="00CF4A19" w:rsidP="000724DE">
      <w:pPr>
        <w:ind w:firstLine="567"/>
        <w:jc w:val="both"/>
        <w:rPr>
          <w:szCs w:val="24"/>
        </w:rPr>
      </w:pPr>
      <w:r>
        <w:rPr>
          <w:szCs w:val="24"/>
        </w:rPr>
        <w:t>Daugiausiai sergančiųjų anemijomis buvo 65 m. amžiaus ir vyresnių asmenų tarpe (9,5/1000 gyv.), kiek mažiau 0-17 m. (9,2/1000 gyv.), 18-44 m. (5/1000 gyv.) ir 45-64 m. amžiaus asmenų (4,7/1000 gyv.).</w:t>
      </w:r>
    </w:p>
    <w:p w:rsidR="00C544DD" w:rsidRDefault="00C544DD" w:rsidP="00CF4A19">
      <w:pPr>
        <w:spacing w:after="0"/>
        <w:jc w:val="center"/>
        <w:rPr>
          <w:b/>
          <w:sz w:val="28"/>
          <w:szCs w:val="28"/>
        </w:rPr>
      </w:pPr>
    </w:p>
    <w:p w:rsidR="00C544DD" w:rsidRDefault="00C544DD" w:rsidP="00CF4A19">
      <w:pPr>
        <w:spacing w:after="0"/>
        <w:jc w:val="center"/>
        <w:rPr>
          <w:b/>
          <w:sz w:val="28"/>
          <w:szCs w:val="28"/>
        </w:rPr>
      </w:pPr>
    </w:p>
    <w:p w:rsidR="00C544DD" w:rsidRDefault="00C544DD" w:rsidP="00CF4A19">
      <w:pPr>
        <w:spacing w:after="0"/>
        <w:jc w:val="center"/>
        <w:rPr>
          <w:b/>
          <w:sz w:val="28"/>
          <w:szCs w:val="28"/>
        </w:rPr>
      </w:pPr>
    </w:p>
    <w:p w:rsidR="00C544DD" w:rsidRDefault="00C544DD" w:rsidP="00CF4A19">
      <w:pPr>
        <w:spacing w:after="0"/>
        <w:jc w:val="center"/>
        <w:rPr>
          <w:b/>
          <w:sz w:val="28"/>
          <w:szCs w:val="28"/>
        </w:rPr>
      </w:pPr>
    </w:p>
    <w:p w:rsidR="00C544DD" w:rsidRDefault="00C544DD" w:rsidP="00CF4A19">
      <w:pPr>
        <w:spacing w:after="0"/>
        <w:jc w:val="center"/>
        <w:rPr>
          <w:b/>
          <w:sz w:val="28"/>
          <w:szCs w:val="28"/>
        </w:rPr>
      </w:pPr>
    </w:p>
    <w:p w:rsidR="00CF4A19" w:rsidRPr="00197D7B" w:rsidRDefault="00CF4A19" w:rsidP="00CF4A19">
      <w:pPr>
        <w:spacing w:after="0"/>
        <w:jc w:val="center"/>
        <w:rPr>
          <w:b/>
          <w:sz w:val="28"/>
          <w:szCs w:val="28"/>
        </w:rPr>
      </w:pPr>
      <w:r w:rsidRPr="00197D7B">
        <w:rPr>
          <w:b/>
          <w:sz w:val="28"/>
          <w:szCs w:val="28"/>
        </w:rPr>
        <w:lastRenderedPageBreak/>
        <w:t>Ausies ir speninės ataugos lig</w:t>
      </w:r>
      <w:r w:rsidR="000E6850">
        <w:rPr>
          <w:b/>
          <w:sz w:val="28"/>
          <w:szCs w:val="28"/>
        </w:rPr>
        <w:t>os</w:t>
      </w:r>
    </w:p>
    <w:p w:rsidR="00CF4A19" w:rsidRPr="00096447" w:rsidRDefault="00CF4A19" w:rsidP="00CF4A19">
      <w:pPr>
        <w:spacing w:after="0"/>
        <w:jc w:val="center"/>
        <w:rPr>
          <w:b/>
        </w:rPr>
      </w:pPr>
    </w:p>
    <w:p w:rsidR="00CF4A19" w:rsidRDefault="00CF4A19" w:rsidP="00CF4A19">
      <w:pPr>
        <w:spacing w:after="0"/>
        <w:ind w:firstLine="1296"/>
        <w:jc w:val="both"/>
      </w:pPr>
      <w:r>
        <w:t xml:space="preserve">HI SIC duomenimis, 2010 m. Vilniaus rajone viso užregistruoti 4903 ausies ir jos speninės ataugos ligų atvejai (51 atv./1000 gyventojų), 3884 buvo ūmūs arba registruoti pirmą kartą gyvenime. </w:t>
      </w:r>
    </w:p>
    <w:p w:rsidR="0010257F" w:rsidRPr="00CF4A19" w:rsidRDefault="00CF4A19" w:rsidP="00CF4A19">
      <w:pPr>
        <w:spacing w:after="0"/>
        <w:jc w:val="both"/>
      </w:pPr>
      <w:r>
        <w:tab/>
        <w:t>Ausies ir jos speninės ataugos ligos labiau paplitę tarp moterų, visose amžiaus grupėse apylygiai.</w:t>
      </w:r>
    </w:p>
    <w:p w:rsidR="00094BF9" w:rsidRPr="00E40D1D" w:rsidRDefault="00094BF9" w:rsidP="00E40D1D">
      <w:pPr>
        <w:spacing w:after="0"/>
        <w:rPr>
          <w:b/>
          <w:sz w:val="28"/>
          <w:szCs w:val="28"/>
        </w:rPr>
      </w:pPr>
    </w:p>
    <w:p w:rsidR="00CF4A19" w:rsidRPr="00282627" w:rsidRDefault="00CF4A19" w:rsidP="00CF4A19">
      <w:pPr>
        <w:spacing w:after="0"/>
        <w:jc w:val="center"/>
        <w:rPr>
          <w:b/>
          <w:sz w:val="28"/>
          <w:szCs w:val="28"/>
        </w:rPr>
      </w:pPr>
      <w:r w:rsidRPr="00282627">
        <w:rPr>
          <w:b/>
          <w:sz w:val="28"/>
          <w:szCs w:val="28"/>
        </w:rPr>
        <w:t xml:space="preserve">Jungiamojo audinio ir </w:t>
      </w:r>
      <w:r w:rsidR="000E6850">
        <w:rPr>
          <w:b/>
          <w:sz w:val="28"/>
          <w:szCs w:val="28"/>
        </w:rPr>
        <w:t>skeleto – raumenų sistemos ligos</w:t>
      </w:r>
    </w:p>
    <w:p w:rsidR="00CF4A19" w:rsidRDefault="00CF4A19" w:rsidP="00CF4A19">
      <w:pPr>
        <w:spacing w:after="0"/>
        <w:jc w:val="both"/>
      </w:pPr>
    </w:p>
    <w:p w:rsidR="00CF4A19" w:rsidRDefault="00CF4A19" w:rsidP="00CF4A19">
      <w:pPr>
        <w:spacing w:after="0"/>
        <w:ind w:firstLine="1296"/>
        <w:jc w:val="both"/>
      </w:pPr>
      <w:r>
        <w:t>Iš visų 2010 m. Vilniaus rajone užregistruotų susirgimų, 9,1 proc. sudarė jungiamojo audinio ir skeleto – raumenų sistemos susirgimai (Lietuvoje analogiškai 4,2 proc.), 60 proc. susirgimų teko moterims, 40 proc. – vyrams (Lietuvoje analogiškai 61,8 proc. ir 38,9 proc.).</w:t>
      </w:r>
    </w:p>
    <w:p w:rsidR="00CF4A19" w:rsidRDefault="00CF4A19" w:rsidP="00CF4A19">
      <w:pPr>
        <w:spacing w:after="0"/>
        <w:ind w:firstLine="1296"/>
        <w:jc w:val="both"/>
      </w:pPr>
      <w:r>
        <w:t>Iš visų 2010 m. Vilniaus r. užregistruotų jungiamojo audinio ir skeleto – raumenų sistemos ligų, 32,4 proc. jų sudarė artropatijos, 31,2 proc. – dorsalgija, 12,3 proc. – kaklo diskų ir tarpslankstelinio disko ligos, 11,1 proc. – dorsopatijos ir spondilopatijos, 9,9 proc. – minkštųjų audinių ligos.</w:t>
      </w:r>
    </w:p>
    <w:p w:rsidR="00CF4A19" w:rsidRDefault="00CF4A19" w:rsidP="00CF4A19">
      <w:pPr>
        <w:spacing w:after="0"/>
        <w:ind w:firstLine="1296"/>
        <w:jc w:val="both"/>
      </w:pPr>
      <w:r>
        <w:t>Jungiamojo audinio ir skeleto raumenų sistemos ligos labiausiai paplitę 18 – 44 ir 45 – 64 m. amžiaus grupėse.</w:t>
      </w:r>
    </w:p>
    <w:p w:rsidR="000947BE" w:rsidRDefault="000947BE" w:rsidP="000724DE">
      <w:pPr>
        <w:spacing w:after="0"/>
        <w:rPr>
          <w:b/>
          <w:sz w:val="28"/>
          <w:szCs w:val="28"/>
        </w:rPr>
      </w:pPr>
    </w:p>
    <w:p w:rsidR="00CF4A19" w:rsidRPr="00122D9D" w:rsidRDefault="000E6850" w:rsidP="00CF4A19">
      <w:pPr>
        <w:spacing w:after="0"/>
        <w:jc w:val="center"/>
        <w:rPr>
          <w:b/>
          <w:sz w:val="28"/>
          <w:szCs w:val="28"/>
        </w:rPr>
      </w:pPr>
      <w:r>
        <w:rPr>
          <w:b/>
          <w:sz w:val="28"/>
          <w:szCs w:val="28"/>
        </w:rPr>
        <w:t>Urogenitalinės sistemos ligos</w:t>
      </w:r>
    </w:p>
    <w:p w:rsidR="00CF4A19" w:rsidRDefault="00CF4A19" w:rsidP="00CF4A19">
      <w:pPr>
        <w:spacing w:after="0"/>
      </w:pPr>
    </w:p>
    <w:p w:rsidR="00CF4A19" w:rsidRDefault="00CF4A19" w:rsidP="001C07C7">
      <w:pPr>
        <w:spacing w:after="0"/>
        <w:jc w:val="both"/>
      </w:pPr>
      <w:r>
        <w:tab/>
        <w:t>2010 m. Vilniaus rajone užregistruoti 10255 urogenitalinės sistemos ligų atvejai, 7263 atvejai buvo ūmūs arba registruoti pirmą kartą gyvenime. Vertinant procentai</w:t>
      </w:r>
      <w:r w:rsidR="00C7080C">
        <w:t>s</w:t>
      </w:r>
      <w:r>
        <w:t>, tai sudarė 7,5 proc. visų Vilniaus r. naujai registruotų ligų atvejų 2010 m.</w:t>
      </w:r>
    </w:p>
    <w:p w:rsidR="00CF4A19" w:rsidRDefault="00CF4A19" w:rsidP="00CF4A19">
      <w:pPr>
        <w:spacing w:after="0"/>
        <w:jc w:val="both"/>
      </w:pPr>
      <w:r>
        <w:tab/>
        <w:t>Moterų, sergančių urogenitalinės sistemos ligomis yra beveik 4 kartus daugiau negu vyrų – 79,5 proc. sergančių urogenitalinės sistemos ligomis asmenų sudarė moterys, likusius 20,5 proc. – vyrai. Daugiausiai sergančių urogenitalinės sistemos ligomis asmenų registruota 18 – 44 m. amžiaus grupėje, šiek tiek mažiau – 45 – 64 metų amžiaus grupėje.</w:t>
      </w:r>
    </w:p>
    <w:p w:rsidR="00CF4A19" w:rsidRDefault="00CF4A19" w:rsidP="00CF4A19">
      <w:pPr>
        <w:spacing w:after="0"/>
        <w:jc w:val="both"/>
      </w:pPr>
      <w:r>
        <w:tab/>
        <w:t>Analizuojant sergančių urogenitalinės sistemos ligomis asmenų struktūrą, 24,7 proc. visų sirgusiųjų sirgo moters dubens organų uždegiminėmis ligomis, 16,1 proc. – šlapimo organų ligomis, 10,3 proc. – mėnesinių sutrikimais ir būklėmis, siejamomis su moters lytiniais organais ir mėnesinių ciklu, 9,9 proc. – premenopauziniais, menopauziniais ir postmenopauziniais sutrikimais, 8,5 proc. – priešinės liaukos hiperplazija, 8,4 proc. – krūties ligomis.</w:t>
      </w:r>
    </w:p>
    <w:p w:rsidR="00CF4A19" w:rsidRDefault="00CF4A19" w:rsidP="00E40D1D">
      <w:pPr>
        <w:spacing w:after="0"/>
        <w:jc w:val="center"/>
        <w:rPr>
          <w:b/>
          <w:sz w:val="28"/>
          <w:szCs w:val="28"/>
        </w:rPr>
      </w:pPr>
    </w:p>
    <w:p w:rsidR="00CF4A19" w:rsidRPr="00E653EC" w:rsidRDefault="00CF4A19" w:rsidP="00C544DD">
      <w:pPr>
        <w:spacing w:after="0"/>
        <w:jc w:val="center"/>
        <w:rPr>
          <w:b/>
          <w:sz w:val="28"/>
          <w:szCs w:val="28"/>
        </w:rPr>
      </w:pPr>
      <w:r w:rsidRPr="00E653EC">
        <w:rPr>
          <w:b/>
          <w:sz w:val="28"/>
          <w:szCs w:val="28"/>
        </w:rPr>
        <w:t>Įgimtų formavimosi ydų, def</w:t>
      </w:r>
      <w:r w:rsidR="000E6850">
        <w:rPr>
          <w:b/>
          <w:sz w:val="28"/>
          <w:szCs w:val="28"/>
        </w:rPr>
        <w:t>ormacijų ir chromosomų anomalijos</w:t>
      </w:r>
    </w:p>
    <w:p w:rsidR="00CF4A19" w:rsidRDefault="00CF4A19" w:rsidP="00CF4A19">
      <w:pPr>
        <w:spacing w:after="0"/>
        <w:ind w:firstLine="1296"/>
        <w:jc w:val="both"/>
      </w:pPr>
    </w:p>
    <w:p w:rsidR="00CF4A19" w:rsidRPr="00470D45" w:rsidRDefault="00CF4A19" w:rsidP="00CF4A19">
      <w:pPr>
        <w:spacing w:after="0"/>
        <w:ind w:firstLine="1298"/>
        <w:jc w:val="both"/>
      </w:pPr>
      <w:r w:rsidRPr="00470D45">
        <w:t xml:space="preserve">Įgimtos ligos yra susijusios su gemalo ir vaisiaus raidos sutrikimais iki gimdymo. </w:t>
      </w:r>
      <w:r w:rsidRPr="00B77872">
        <w:rPr>
          <w:i/>
          <w:color w:val="000000"/>
        </w:rPr>
        <w:t>Nepaveldimoms įgimtoms ligoms</w:t>
      </w:r>
      <w:r w:rsidRPr="00470D45">
        <w:t xml:space="preserve"> priklauso virusinės, bakterinės, pirmuonių sukeltos ligos (sifilis, raudonukė, toksoplazmozė, listeriozė, įgimtas hepatitas), dė</w:t>
      </w:r>
      <w:r w:rsidR="00C7080C">
        <w:t>l kurių gali atsirasti organų funkci</w:t>
      </w:r>
      <w:r w:rsidRPr="00470D45">
        <w:t xml:space="preserve">jos sutrikimų (gelta, traukuliai, karščiavimas), sklaidos defektų (griaučių, akių anomalijų, įgimtų širdies ydų). Nepaveldimas įgimtas ligas taip pat sukelia fiziniai ir cheminiai veiksniai, veikiantys vaisių. </w:t>
      </w:r>
      <w:r w:rsidRPr="00B77872">
        <w:rPr>
          <w:i/>
          <w:color w:val="000000"/>
        </w:rPr>
        <w:t xml:space="preserve">Paveldimoms įgimtoms ligoms </w:t>
      </w:r>
      <w:r w:rsidRPr="00B77872">
        <w:t xml:space="preserve">priklauso geninės, chromosominės ir genominės ligos. </w:t>
      </w:r>
      <w:r w:rsidRPr="00B77872">
        <w:rPr>
          <w:i/>
          <w:color w:val="000000"/>
        </w:rPr>
        <w:t>Chromosominės ligos</w:t>
      </w:r>
      <w:r w:rsidRPr="00470D45">
        <w:rPr>
          <w:b/>
          <w:i/>
        </w:rPr>
        <w:t xml:space="preserve"> </w:t>
      </w:r>
      <w:r w:rsidRPr="00470D45">
        <w:t xml:space="preserve">– tai įgimtos ligos, kurias sukelia ligonio ląstelių chromosomų skaičiaus arba struktūros pakitimai. Jomis serga ~ 0,6% naujagimių. </w:t>
      </w:r>
    </w:p>
    <w:p w:rsidR="00CF4A19" w:rsidRPr="00B77872" w:rsidRDefault="00CF4A19" w:rsidP="00CF4A19">
      <w:pPr>
        <w:spacing w:after="0"/>
        <w:jc w:val="both"/>
        <w:rPr>
          <w:color w:val="000000" w:themeColor="text1"/>
        </w:rPr>
      </w:pPr>
      <w:r w:rsidRPr="00470D45">
        <w:rPr>
          <w:rFonts w:ascii="Bookman Old Style" w:hAnsi="Bookman Old Style"/>
        </w:rPr>
        <w:tab/>
      </w:r>
      <w:r w:rsidRPr="005E1E10">
        <w:rPr>
          <w:color w:val="000000" w:themeColor="text1"/>
        </w:rPr>
        <w:t>Remiantis HI SIC duomenimis, sergamumas įgimtomis formavimosi ydomis, deformacijomis ir chromosomų anomalijomis</w:t>
      </w:r>
      <w:r>
        <w:rPr>
          <w:color w:val="000000" w:themeColor="text1"/>
        </w:rPr>
        <w:t xml:space="preserve"> </w:t>
      </w:r>
      <w:r w:rsidRPr="005E1E10">
        <w:rPr>
          <w:color w:val="000000" w:themeColor="text1"/>
        </w:rPr>
        <w:t>2010 met</w:t>
      </w:r>
      <w:r>
        <w:rPr>
          <w:color w:val="000000" w:themeColor="text1"/>
        </w:rPr>
        <w:t>ais</w:t>
      </w:r>
      <w:r w:rsidRPr="005E1E10">
        <w:rPr>
          <w:color w:val="000000" w:themeColor="text1"/>
        </w:rPr>
        <w:t xml:space="preserve"> </w:t>
      </w:r>
      <w:r>
        <w:rPr>
          <w:color w:val="000000" w:themeColor="text1"/>
        </w:rPr>
        <w:t>Vilniaus</w:t>
      </w:r>
      <w:r w:rsidRPr="005E1E10">
        <w:rPr>
          <w:color w:val="000000" w:themeColor="text1"/>
        </w:rPr>
        <w:t xml:space="preserve"> rajone</w:t>
      </w:r>
      <w:r>
        <w:rPr>
          <w:color w:val="000000" w:themeColor="text1"/>
        </w:rPr>
        <w:t xml:space="preserve"> (972,9 atv./100000 gyv.)</w:t>
      </w:r>
      <w:r w:rsidRPr="005E1E10">
        <w:rPr>
          <w:color w:val="000000" w:themeColor="text1"/>
        </w:rPr>
        <w:t xml:space="preserve"> </w:t>
      </w:r>
      <w:r w:rsidRPr="005E1E10">
        <w:rPr>
          <w:color w:val="000000" w:themeColor="text1"/>
        </w:rPr>
        <w:lastRenderedPageBreak/>
        <w:t xml:space="preserve">buvo </w:t>
      </w:r>
      <w:r>
        <w:rPr>
          <w:color w:val="000000" w:themeColor="text1"/>
        </w:rPr>
        <w:t>didesni</w:t>
      </w:r>
      <w:r w:rsidRPr="005E1E10">
        <w:rPr>
          <w:color w:val="000000" w:themeColor="text1"/>
        </w:rPr>
        <w:t xml:space="preserve">s, lyginant su Vilniaus apskritimi </w:t>
      </w:r>
      <w:r>
        <w:rPr>
          <w:color w:val="000000" w:themeColor="text1"/>
        </w:rPr>
        <w:t xml:space="preserve">(873,1 atv./100000 gyv.) </w:t>
      </w:r>
      <w:r w:rsidRPr="005E1E10">
        <w:rPr>
          <w:color w:val="000000" w:themeColor="text1"/>
        </w:rPr>
        <w:t>ar Lietuva</w:t>
      </w:r>
      <w:r>
        <w:rPr>
          <w:color w:val="000000" w:themeColor="text1"/>
        </w:rPr>
        <w:t xml:space="preserve"> (694,8 atv./100000 gyv.)</w:t>
      </w:r>
      <w:r w:rsidRPr="005E1E10">
        <w:rPr>
          <w:color w:val="000000" w:themeColor="text1"/>
        </w:rPr>
        <w:t xml:space="preserve">. </w:t>
      </w:r>
      <w:r>
        <w:rPr>
          <w:color w:val="000000" w:themeColor="text1"/>
        </w:rPr>
        <w:t xml:space="preserve">Ligotumas įgimtomis formavimosi ydomis </w:t>
      </w:r>
      <w:r w:rsidRPr="00FA19A0">
        <w:rPr>
          <w:color w:val="000000" w:themeColor="text1"/>
        </w:rPr>
        <w:t xml:space="preserve">2010 m. </w:t>
      </w:r>
      <w:r>
        <w:rPr>
          <w:color w:val="000000" w:themeColor="text1"/>
        </w:rPr>
        <w:t xml:space="preserve">Vilniaus r. </w:t>
      </w:r>
      <w:r w:rsidRPr="00FA19A0">
        <w:rPr>
          <w:color w:val="000000" w:themeColor="text1"/>
        </w:rPr>
        <w:t xml:space="preserve">buvo </w:t>
      </w:r>
      <w:r>
        <w:rPr>
          <w:color w:val="000000" w:themeColor="text1"/>
        </w:rPr>
        <w:t>1708,8</w:t>
      </w:r>
      <w:r w:rsidRPr="00FA19A0">
        <w:rPr>
          <w:color w:val="000000" w:themeColor="text1"/>
        </w:rPr>
        <w:t xml:space="preserve"> </w:t>
      </w:r>
      <w:r>
        <w:rPr>
          <w:color w:val="000000" w:themeColor="text1"/>
        </w:rPr>
        <w:t>atv./100000 gyv.</w:t>
      </w:r>
      <w:r w:rsidRPr="00FA19A0">
        <w:rPr>
          <w:color w:val="000000" w:themeColor="text1"/>
        </w:rPr>
        <w:t>, tuo tarpu Vilniaus apskr. 100000 gyv. teko 1480,96 atv., Lietuvoje – 1501,97 įgimtų formavimosi ydų atvejai.</w:t>
      </w:r>
      <w:r w:rsidRPr="00EF6AD8">
        <w:rPr>
          <w:color w:val="FF0000"/>
        </w:rPr>
        <w:t xml:space="preserve"> </w:t>
      </w:r>
    </w:p>
    <w:p w:rsidR="00CF4A19" w:rsidRPr="00CF22F3" w:rsidRDefault="00CF4A19" w:rsidP="00CF4A19">
      <w:pPr>
        <w:spacing w:after="0"/>
        <w:ind w:firstLine="1296"/>
        <w:jc w:val="both"/>
        <w:rPr>
          <w:color w:val="000000" w:themeColor="text1"/>
        </w:rPr>
      </w:pPr>
      <w:r w:rsidRPr="00CF22F3">
        <w:rPr>
          <w:color w:val="000000" w:themeColor="text1"/>
        </w:rPr>
        <w:t xml:space="preserve">Iš visų 2010 metais </w:t>
      </w:r>
      <w:r>
        <w:rPr>
          <w:color w:val="000000" w:themeColor="text1"/>
        </w:rPr>
        <w:t>Vilniaus</w:t>
      </w:r>
      <w:r w:rsidRPr="00CF22F3">
        <w:rPr>
          <w:color w:val="000000" w:themeColor="text1"/>
        </w:rPr>
        <w:t xml:space="preserve"> r. registruotų ūmių ir pirmą kartą gyvenime diagnozuotų susirgimų, įgimtos formavimosi ydos, deformacijos ir chromosomų anomalijos sudarė</w:t>
      </w:r>
      <w:r>
        <w:rPr>
          <w:color w:val="000000" w:themeColor="text1"/>
        </w:rPr>
        <w:t xml:space="preserve"> 1</w:t>
      </w:r>
      <w:r w:rsidRPr="00CF22F3">
        <w:rPr>
          <w:color w:val="000000" w:themeColor="text1"/>
        </w:rPr>
        <w:t xml:space="preserve"> proc. (Lietuvos mastu įgimtos formavimosi ydos sudarė 0,6 proc.</w:t>
      </w:r>
      <w:r>
        <w:rPr>
          <w:color w:val="000000" w:themeColor="text1"/>
        </w:rPr>
        <w:t>)</w:t>
      </w:r>
      <w:r w:rsidRPr="00CF22F3">
        <w:rPr>
          <w:color w:val="000000" w:themeColor="text1"/>
        </w:rPr>
        <w:t xml:space="preserve"> visų naujų atvejų.</w:t>
      </w:r>
    </w:p>
    <w:p w:rsidR="003F5425" w:rsidRDefault="003F5425" w:rsidP="00E40D1D">
      <w:pPr>
        <w:jc w:val="center"/>
        <w:rPr>
          <w:sz w:val="56"/>
          <w:szCs w:val="32"/>
        </w:rPr>
      </w:pPr>
    </w:p>
    <w:p w:rsidR="00CF4A19" w:rsidRPr="00E40D1D" w:rsidRDefault="00CF4A19"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094BF9" w:rsidRPr="00E40D1D" w:rsidRDefault="00094BF9" w:rsidP="00E40D1D">
      <w:pPr>
        <w:jc w:val="center"/>
        <w:rPr>
          <w:sz w:val="56"/>
          <w:szCs w:val="32"/>
        </w:rPr>
      </w:pPr>
    </w:p>
    <w:p w:rsidR="00094BF9" w:rsidRPr="00E40D1D" w:rsidRDefault="00094BF9" w:rsidP="00E40D1D">
      <w:pPr>
        <w:jc w:val="center"/>
        <w:rPr>
          <w:sz w:val="56"/>
          <w:szCs w:val="32"/>
        </w:rPr>
      </w:pPr>
    </w:p>
    <w:p w:rsidR="00094BF9" w:rsidRPr="00E40D1D" w:rsidRDefault="00094BF9"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0947BE" w:rsidRDefault="000947BE" w:rsidP="00E40D1D">
      <w:pPr>
        <w:jc w:val="center"/>
        <w:rPr>
          <w:sz w:val="56"/>
          <w:szCs w:val="32"/>
        </w:rPr>
      </w:pPr>
    </w:p>
    <w:p w:rsidR="00C544DD" w:rsidRDefault="00C544DD" w:rsidP="00E40D1D">
      <w:pPr>
        <w:jc w:val="center"/>
        <w:rPr>
          <w:sz w:val="56"/>
          <w:szCs w:val="32"/>
        </w:rPr>
      </w:pPr>
    </w:p>
    <w:p w:rsidR="00C544DD" w:rsidRDefault="00C544DD" w:rsidP="00E40D1D">
      <w:pPr>
        <w:jc w:val="center"/>
        <w:rPr>
          <w:sz w:val="56"/>
          <w:szCs w:val="32"/>
        </w:rPr>
      </w:pPr>
    </w:p>
    <w:p w:rsidR="00C544DD" w:rsidRDefault="00C544DD" w:rsidP="00E40D1D">
      <w:pPr>
        <w:jc w:val="center"/>
        <w:rPr>
          <w:sz w:val="56"/>
          <w:szCs w:val="32"/>
        </w:rPr>
      </w:pPr>
    </w:p>
    <w:p w:rsidR="00C544DD" w:rsidRDefault="00C544DD" w:rsidP="00E40D1D">
      <w:pPr>
        <w:jc w:val="center"/>
        <w:rPr>
          <w:sz w:val="56"/>
          <w:szCs w:val="32"/>
        </w:rPr>
      </w:pPr>
    </w:p>
    <w:p w:rsidR="00C544DD" w:rsidRDefault="00C544DD" w:rsidP="00E40D1D">
      <w:pPr>
        <w:jc w:val="center"/>
        <w:rPr>
          <w:sz w:val="56"/>
          <w:szCs w:val="32"/>
        </w:rPr>
      </w:pPr>
    </w:p>
    <w:p w:rsidR="00864A0E" w:rsidRPr="00E40D1D" w:rsidRDefault="00864A0E" w:rsidP="00E40D1D">
      <w:pPr>
        <w:jc w:val="center"/>
        <w:rPr>
          <w:sz w:val="56"/>
          <w:szCs w:val="32"/>
        </w:rPr>
      </w:pPr>
      <w:r w:rsidRPr="00E40D1D">
        <w:rPr>
          <w:sz w:val="56"/>
          <w:szCs w:val="32"/>
        </w:rPr>
        <w:t>VAIKŲ SVEIKATOS BŪKLĖ</w:t>
      </w:r>
    </w:p>
    <w:p w:rsidR="00094BF9" w:rsidRPr="00E40D1D" w:rsidRDefault="00094BF9"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CF4A19" w:rsidRDefault="00CF4A19" w:rsidP="00E40D1D">
      <w:pPr>
        <w:jc w:val="center"/>
        <w:rPr>
          <w:b/>
          <w:sz w:val="28"/>
          <w:szCs w:val="28"/>
        </w:rPr>
      </w:pPr>
    </w:p>
    <w:p w:rsidR="00CF4A19" w:rsidRPr="006D11E6" w:rsidRDefault="00851116" w:rsidP="00CF4A19">
      <w:pPr>
        <w:spacing w:after="0"/>
        <w:jc w:val="center"/>
        <w:rPr>
          <w:b/>
          <w:sz w:val="28"/>
          <w:szCs w:val="28"/>
        </w:rPr>
      </w:pPr>
      <w:r>
        <w:rPr>
          <w:b/>
          <w:sz w:val="28"/>
          <w:szCs w:val="28"/>
        </w:rPr>
        <w:lastRenderedPageBreak/>
        <w:t>Vaikų sveikatos būklė</w:t>
      </w:r>
    </w:p>
    <w:p w:rsidR="00CF4A19" w:rsidRDefault="00CF4A19" w:rsidP="00CF4A19">
      <w:pPr>
        <w:spacing w:after="0"/>
        <w:jc w:val="center"/>
        <w:rPr>
          <w:b/>
        </w:rPr>
      </w:pPr>
    </w:p>
    <w:p w:rsidR="00CF4A19" w:rsidRDefault="00CF4A19" w:rsidP="00CF4A19">
      <w:pPr>
        <w:spacing w:after="0"/>
        <w:jc w:val="both"/>
      </w:pPr>
      <w:r>
        <w:rPr>
          <w:b/>
        </w:rPr>
        <w:tab/>
      </w:r>
      <w:r w:rsidRPr="00B51475">
        <w:t xml:space="preserve">SVEIDROS duomenimis, ambulatorinėse </w:t>
      </w:r>
      <w:r>
        <w:t>sveikatos priežiūros įstaigose 2010 m. Vilniaus rajone užregistruoti 16073 apsilankę vaikai (amžiaus grupė iki 17 m.), tai 270 apsilankiusiųjų mažiau negu 2009 m. Vaikams daugiausiai užregistruota regėjimo sutrikimų – 12,7 proc. nuo apsilankiusiųjų, deformuojančių dorsopatijų – 2,9 proc., nenormali laikysena – 1,2 proc., skoliozė – 1 proc., klausos defektai – 0,3 proc. ir kalbos sutrikimai 0,2 proc. nuo apsilankiusiųjų.</w:t>
      </w:r>
    </w:p>
    <w:p w:rsidR="00CF4A19" w:rsidRDefault="00CF4A19" w:rsidP="00CF4A19">
      <w:pPr>
        <w:spacing w:after="0"/>
        <w:jc w:val="both"/>
      </w:pPr>
      <w:r>
        <w:tab/>
        <w:t xml:space="preserve">Daugiausia regėjimo sutrikimų (13,2 proc.) nustatyta 15 – 17 metų amžiaus grupėje. Deformuojančios dorsopatijos (5,3 proc.) ir skoliozė (1,9 proc.) taip pat labiausiai paplitusios šioje amžiaus grupėje. Daugiausia nenormalios laikysenos atvejų 2010 metais buvo 7 – 14 amžiaus grupėje (2 proc.) </w:t>
      </w:r>
      <w:r w:rsidRPr="006377A9">
        <w:rPr>
          <w:b/>
          <w:i/>
        </w:rPr>
        <w:t>(1 pav.)</w:t>
      </w:r>
      <w:r>
        <w:t xml:space="preserve">. </w:t>
      </w:r>
    </w:p>
    <w:p w:rsidR="00CF4A19" w:rsidRDefault="00CF4A19" w:rsidP="00CF4A19">
      <w:pPr>
        <w:spacing w:after="0"/>
        <w:jc w:val="both"/>
      </w:pPr>
    </w:p>
    <w:p w:rsidR="00CF4A19" w:rsidRPr="00B51475" w:rsidRDefault="00CF4A19" w:rsidP="00CF4A19">
      <w:pPr>
        <w:spacing w:after="0"/>
        <w:jc w:val="both"/>
      </w:pPr>
      <w:r w:rsidRPr="006E7F9B">
        <w:rPr>
          <w:lang w:val="lt-LT" w:eastAsia="lt-LT"/>
        </w:rPr>
        <w:drawing>
          <wp:inline distT="0" distB="0" distL="0" distR="0">
            <wp:extent cx="6106160" cy="3943350"/>
            <wp:effectExtent l="19050" t="0" r="27940" b="0"/>
            <wp:docPr id="10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F4A19" w:rsidRPr="00C544DD" w:rsidRDefault="00CF4A19" w:rsidP="00CF4A19">
      <w:pPr>
        <w:spacing w:after="0"/>
        <w:rPr>
          <w:b/>
          <w:sz w:val="20"/>
          <w:szCs w:val="20"/>
        </w:rPr>
      </w:pPr>
      <w:r w:rsidRPr="00C544DD">
        <w:rPr>
          <w:b/>
          <w:sz w:val="20"/>
          <w:szCs w:val="20"/>
        </w:rPr>
        <w:t>1 pav. Sergančių kai kuriomis ligomis ir sutrikimais vaikų skaičius skirtingose amžiaus grupėse  (proc.) 2010 m. Vilniaus raj.</w:t>
      </w:r>
    </w:p>
    <w:p w:rsidR="00CF4A19" w:rsidRDefault="00CF4A19" w:rsidP="00CF4A19">
      <w:pPr>
        <w:spacing w:after="0"/>
        <w:rPr>
          <w:i/>
        </w:rPr>
      </w:pPr>
    </w:p>
    <w:p w:rsidR="00CF4A19" w:rsidRPr="00AC5B6E" w:rsidRDefault="00CF4A19" w:rsidP="00CF4A19">
      <w:pPr>
        <w:spacing w:after="0"/>
        <w:jc w:val="both"/>
        <w:rPr>
          <w:color w:val="000000" w:themeColor="text1"/>
        </w:rPr>
      </w:pPr>
      <w:r>
        <w:tab/>
      </w:r>
      <w:r w:rsidRPr="00AC5B6E">
        <w:rPr>
          <w:color w:val="000000" w:themeColor="text1"/>
        </w:rPr>
        <w:t>Lyginant su 2009-aisiais, 2010-ais metais Vilniaus rajone išaugo regėjimo sutrikimų skaičius (nuo 11,9 proc. 2009 m. iki 12,7 proc. 2010  m.) ir nenormalios laikysenos atvejų skaičius (nuo 1 iki 1,2 proc.). Galima pasidžiaugti, jog 2010 metais, lyginant su 2009 m., užregistruota mažiau deformuojančių dorsopatijų (2009 m. – 3 proc., 2010 m. – 2,9 proc.), skoliozės atvejų (analogiškai 1,2 ir 1 proc.) ir kalbos defektų skaičius (analogiškai 0,3 ir 0,2 proc.). Klausos defektų skaičius išliko nepakitęs (0,3 proc. nuo apsilankiusiųjų ambulatorinėse sveikatos priežiūros įstaigose vaikų).</w:t>
      </w:r>
    </w:p>
    <w:p w:rsidR="00094BF9" w:rsidRPr="00E40D1D" w:rsidRDefault="00094BF9" w:rsidP="00E40D1D">
      <w:pPr>
        <w:jc w:val="center"/>
        <w:rPr>
          <w:sz w:val="56"/>
          <w:szCs w:val="32"/>
        </w:rPr>
      </w:pPr>
    </w:p>
    <w:p w:rsidR="00864A0E" w:rsidRDefault="00864A0E" w:rsidP="00E40D1D">
      <w:pPr>
        <w:jc w:val="center"/>
        <w:rPr>
          <w:sz w:val="56"/>
          <w:szCs w:val="32"/>
        </w:rPr>
      </w:pPr>
    </w:p>
    <w:p w:rsidR="00CF4A19" w:rsidRDefault="00CF4A19" w:rsidP="00E40D1D">
      <w:pPr>
        <w:jc w:val="center"/>
        <w:rPr>
          <w:sz w:val="56"/>
          <w:szCs w:val="32"/>
        </w:rPr>
      </w:pPr>
    </w:p>
    <w:p w:rsidR="00CF4A19" w:rsidRPr="00E40D1D" w:rsidRDefault="00CF4A19"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864A0E" w:rsidRPr="00E40D1D" w:rsidRDefault="00864A0E" w:rsidP="00E40D1D">
      <w:pPr>
        <w:jc w:val="center"/>
        <w:rPr>
          <w:sz w:val="56"/>
          <w:szCs w:val="32"/>
        </w:rPr>
      </w:pPr>
    </w:p>
    <w:p w:rsidR="003F5425" w:rsidRPr="00E40D1D" w:rsidRDefault="0061302B" w:rsidP="00E40D1D">
      <w:pPr>
        <w:jc w:val="center"/>
        <w:rPr>
          <w:sz w:val="56"/>
          <w:szCs w:val="32"/>
        </w:rPr>
      </w:pPr>
      <w:r w:rsidRPr="00E40D1D">
        <w:rPr>
          <w:sz w:val="56"/>
          <w:szCs w:val="32"/>
        </w:rPr>
        <w:t>FIZIN</w:t>
      </w:r>
      <w:r w:rsidRPr="00E40D1D">
        <w:rPr>
          <w:sz w:val="56"/>
          <w:szCs w:val="32"/>
          <w:lang w:val="lt-LT"/>
        </w:rPr>
        <w:t xml:space="preserve">ĖS </w:t>
      </w:r>
      <w:r w:rsidR="003F5425" w:rsidRPr="00E40D1D">
        <w:rPr>
          <w:sz w:val="56"/>
          <w:szCs w:val="32"/>
        </w:rPr>
        <w:t>APLINKOS VEIKSNIAI</w:t>
      </w: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3F5425" w:rsidRPr="00E40D1D" w:rsidRDefault="003F5425" w:rsidP="00E40D1D">
      <w:pPr>
        <w:jc w:val="center"/>
        <w:rPr>
          <w:sz w:val="56"/>
          <w:szCs w:val="32"/>
        </w:rPr>
      </w:pPr>
    </w:p>
    <w:p w:rsidR="0010257F" w:rsidRPr="00E40D1D" w:rsidRDefault="0010257F" w:rsidP="00E40D1D">
      <w:pPr>
        <w:rPr>
          <w:sz w:val="56"/>
          <w:szCs w:val="32"/>
        </w:rPr>
      </w:pPr>
    </w:p>
    <w:p w:rsidR="009F65AF" w:rsidRPr="00E40D1D" w:rsidRDefault="009F65AF" w:rsidP="00E40D1D">
      <w:pPr>
        <w:rPr>
          <w:sz w:val="56"/>
          <w:szCs w:val="32"/>
        </w:rPr>
      </w:pPr>
    </w:p>
    <w:p w:rsidR="00E72167" w:rsidRPr="000D6473" w:rsidRDefault="00E72167" w:rsidP="000947BE">
      <w:pPr>
        <w:jc w:val="center"/>
        <w:rPr>
          <w:b/>
          <w:sz w:val="28"/>
          <w:szCs w:val="28"/>
        </w:rPr>
      </w:pPr>
      <w:r w:rsidRPr="000D6473">
        <w:rPr>
          <w:b/>
          <w:sz w:val="28"/>
          <w:szCs w:val="28"/>
        </w:rPr>
        <w:lastRenderedPageBreak/>
        <w:t>Vilniaus rajono maudyklų vandens kokybė 2011 m.</w:t>
      </w:r>
    </w:p>
    <w:p w:rsidR="00E72167" w:rsidRPr="003032D8" w:rsidRDefault="00E72167" w:rsidP="000947BE">
      <w:pPr>
        <w:spacing w:before="100" w:beforeAutospacing="1" w:after="100" w:afterAutospacing="1"/>
        <w:ind w:firstLine="720"/>
        <w:jc w:val="both"/>
        <w:rPr>
          <w:rFonts w:eastAsia="Times New Roman"/>
          <w:szCs w:val="24"/>
        </w:rPr>
      </w:pPr>
      <w:r w:rsidRPr="003032D8">
        <w:rPr>
          <w:rFonts w:eastAsia="Times New Roman"/>
          <w:szCs w:val="24"/>
        </w:rPr>
        <w:t xml:space="preserve">2011 m. vandens kokybiniai tyrimai </w:t>
      </w:r>
      <w:r>
        <w:rPr>
          <w:rFonts w:eastAsia="Times New Roman"/>
          <w:szCs w:val="24"/>
        </w:rPr>
        <w:t>Vilniaus rajone, antrus metus iš eilės, atli</w:t>
      </w:r>
      <w:r w:rsidRPr="003032D8">
        <w:rPr>
          <w:rFonts w:eastAsia="Times New Roman"/>
          <w:szCs w:val="24"/>
        </w:rPr>
        <w:t>k</w:t>
      </w:r>
      <w:r>
        <w:rPr>
          <w:rFonts w:eastAsia="Times New Roman"/>
          <w:szCs w:val="24"/>
        </w:rPr>
        <w:t>t</w:t>
      </w:r>
      <w:r w:rsidRPr="003032D8">
        <w:rPr>
          <w:rFonts w:eastAsia="Times New Roman"/>
          <w:szCs w:val="24"/>
        </w:rPr>
        <w:t xml:space="preserve">i šiuose labiausiai lankomuose  vandens telkiniuose: Gėlos ež. (Tusčiaustų k., Nemenčinės sen.), Vilnojos ež.(Sudervės k., Sudervės sen.), Asvejos ež.(Žingių k., Sužionių sen.) ir Ilgučių ež.(Mažųjų lygainių k.,Pagirių sen.). Dėl </w:t>
      </w:r>
      <w:r>
        <w:rPr>
          <w:rFonts w:eastAsia="Times New Roman"/>
          <w:szCs w:val="24"/>
        </w:rPr>
        <w:t>didelio</w:t>
      </w:r>
      <w:r w:rsidRPr="003032D8">
        <w:rPr>
          <w:rFonts w:eastAsia="Times New Roman"/>
          <w:szCs w:val="24"/>
        </w:rPr>
        <w:t xml:space="preserve"> lankytojų skaičiaus pirmą kartą pradėti tirti ir Prūdiškių tv. (Prūdiškių k., Juodšilių sen.).</w:t>
      </w:r>
    </w:p>
    <w:p w:rsidR="00E72167" w:rsidRPr="003032D8" w:rsidRDefault="00E72167" w:rsidP="000947BE">
      <w:pPr>
        <w:spacing w:before="100" w:beforeAutospacing="1" w:after="100" w:afterAutospacing="1"/>
        <w:ind w:firstLine="720"/>
        <w:jc w:val="both"/>
        <w:rPr>
          <w:rFonts w:eastAsia="Times New Roman"/>
          <w:szCs w:val="24"/>
        </w:rPr>
      </w:pPr>
      <w:r w:rsidRPr="003032D8">
        <w:rPr>
          <w:rFonts w:eastAsia="Times New Roman"/>
          <w:szCs w:val="24"/>
        </w:rPr>
        <w:t>Atliekamų mikrobiologinių tyrimų pagalba nustatoma žarninių enterokokų  ir žarninių lazdelių kiekis vandenyje. Viršyta norma dažniausiai rodo fekalinį užterštumą. Atsiranda rizika susirgti įvairiomis bakterinės kilmės žarnyno infekcijomis, gali atsirasti odos alerginės reakcijos.</w:t>
      </w:r>
    </w:p>
    <w:p w:rsidR="00E72167" w:rsidRPr="002312F6" w:rsidRDefault="00E72167" w:rsidP="000947BE">
      <w:pPr>
        <w:pStyle w:val="ISTATYMAS"/>
        <w:spacing w:line="283" w:lineRule="auto"/>
        <w:ind w:firstLine="720"/>
        <w:jc w:val="both"/>
        <w:rPr>
          <w:sz w:val="24"/>
          <w:szCs w:val="24"/>
          <w:lang w:val="lt-LT"/>
        </w:rPr>
      </w:pPr>
      <w:r w:rsidRPr="000C3597">
        <w:rPr>
          <w:sz w:val="24"/>
          <w:szCs w:val="24"/>
        </w:rPr>
        <w:t>Vis</w:t>
      </w:r>
      <w:r>
        <w:rPr>
          <w:sz w:val="24"/>
          <w:szCs w:val="24"/>
        </w:rPr>
        <w:t>u</w:t>
      </w:r>
      <w:r w:rsidRPr="000C3597">
        <w:rPr>
          <w:sz w:val="24"/>
          <w:szCs w:val="24"/>
        </w:rPr>
        <w:t xml:space="preserve">ose </w:t>
      </w:r>
      <w:r>
        <w:rPr>
          <w:sz w:val="24"/>
          <w:szCs w:val="24"/>
        </w:rPr>
        <w:t>ežeruose maudymosi</w:t>
      </w:r>
      <w:r w:rsidR="001C07C7">
        <w:rPr>
          <w:sz w:val="24"/>
          <w:szCs w:val="24"/>
        </w:rPr>
        <w:t xml:space="preserve"> </w:t>
      </w:r>
      <w:r>
        <w:rPr>
          <w:sz w:val="24"/>
          <w:szCs w:val="24"/>
        </w:rPr>
        <w:t xml:space="preserve">sezono metu (06.01. – 09.15) </w:t>
      </w:r>
      <w:r w:rsidRPr="000C3597">
        <w:rPr>
          <w:sz w:val="24"/>
          <w:szCs w:val="24"/>
        </w:rPr>
        <w:t>buvo atlikta po 6 tyrimus.</w:t>
      </w:r>
      <w:r>
        <w:rPr>
          <w:sz w:val="24"/>
          <w:szCs w:val="24"/>
        </w:rPr>
        <w:t xml:space="preserve"> Buvo ieškoma žarninių lazdelių, žarninių enterokokų, vizualiai įvertinamas atliekų, nuolaužų ir plūduriuojančios medžiagų buvimas. </w:t>
      </w:r>
      <w:r>
        <w:rPr>
          <w:sz w:val="24"/>
          <w:szCs w:val="24"/>
          <w:lang w:val="lt-LT"/>
        </w:rPr>
        <w:t xml:space="preserve">Žarninių enterokokų, bei žarninių lazdelių kiekis vandenyje, </w:t>
      </w:r>
      <w:r w:rsidR="000947BE">
        <w:rPr>
          <w:sz w:val="24"/>
          <w:szCs w:val="24"/>
          <w:lang w:val="lt-LT"/>
        </w:rPr>
        <w:t xml:space="preserve">2011 m. maudymosi sezonu neviršijo normų </w:t>
      </w:r>
      <w:r w:rsidRPr="002312F6">
        <w:rPr>
          <w:sz w:val="24"/>
          <w:szCs w:val="24"/>
          <w:lang w:val="lt-LT"/>
        </w:rPr>
        <w:t>(</w:t>
      </w:r>
      <w:r w:rsidRPr="002312F6">
        <w:rPr>
          <w:rStyle w:val="Emphasis"/>
          <w:i w:val="0"/>
          <w:sz w:val="24"/>
          <w:szCs w:val="24"/>
        </w:rPr>
        <w:t>HN</w:t>
      </w:r>
      <w:r w:rsidRPr="002312F6">
        <w:rPr>
          <w:i/>
          <w:sz w:val="24"/>
          <w:szCs w:val="24"/>
        </w:rPr>
        <w:t xml:space="preserve"> </w:t>
      </w:r>
      <w:r w:rsidRPr="002312F6">
        <w:rPr>
          <w:sz w:val="24"/>
          <w:szCs w:val="24"/>
        </w:rPr>
        <w:t xml:space="preserve">92:2007 "Paplūdimiai ir jų </w:t>
      </w:r>
      <w:r w:rsidRPr="002312F6">
        <w:rPr>
          <w:rStyle w:val="Emphasis"/>
          <w:i w:val="0"/>
          <w:sz w:val="24"/>
          <w:szCs w:val="24"/>
        </w:rPr>
        <w:t>maudyklų</w:t>
      </w:r>
      <w:r w:rsidR="002312F6" w:rsidRPr="002312F6">
        <w:rPr>
          <w:rStyle w:val="Emphasis"/>
          <w:i w:val="0"/>
          <w:sz w:val="24"/>
          <w:szCs w:val="24"/>
        </w:rPr>
        <w:t xml:space="preserve"> </w:t>
      </w:r>
      <w:r w:rsidRPr="002312F6">
        <w:rPr>
          <w:sz w:val="24"/>
          <w:szCs w:val="24"/>
        </w:rPr>
        <w:t>vandens kokybė")</w:t>
      </w:r>
      <w:r w:rsidRPr="002312F6">
        <w:rPr>
          <w:sz w:val="24"/>
          <w:szCs w:val="24"/>
          <w:lang w:val="lt-LT"/>
        </w:rPr>
        <w:t xml:space="preserve">.          </w:t>
      </w:r>
    </w:p>
    <w:p w:rsidR="00E72167" w:rsidRPr="00D66987" w:rsidRDefault="00E72167" w:rsidP="00E72167">
      <w:pPr>
        <w:pStyle w:val="ISTATYMAS"/>
        <w:spacing w:line="283" w:lineRule="auto"/>
        <w:jc w:val="both"/>
        <w:rPr>
          <w:sz w:val="24"/>
          <w:szCs w:val="24"/>
          <w:lang w:val="lt-LT"/>
        </w:rPr>
      </w:pPr>
      <w:r w:rsidRPr="00D66987">
        <w:rPr>
          <w:sz w:val="24"/>
          <w:szCs w:val="24"/>
          <w:lang w:val="lt-LT"/>
        </w:rPr>
        <w:t>.</w:t>
      </w:r>
    </w:p>
    <w:p w:rsidR="00E72167" w:rsidRDefault="00E72167" w:rsidP="000947BE">
      <w:pPr>
        <w:pStyle w:val="ISTATYMAS"/>
        <w:spacing w:line="283" w:lineRule="auto"/>
        <w:ind w:firstLine="720"/>
        <w:jc w:val="both"/>
        <w:rPr>
          <w:sz w:val="24"/>
          <w:szCs w:val="24"/>
          <w:lang w:val="lt-LT"/>
        </w:rPr>
      </w:pPr>
      <w:r w:rsidRPr="00D66987">
        <w:rPr>
          <w:sz w:val="24"/>
          <w:szCs w:val="24"/>
          <w:lang w:val="lt-LT"/>
        </w:rPr>
        <w:t>Informacija apie vandens maudyklų vandens kokybę, pastoviai buvo teikiama visuomenei, bei vietos savivaldos inst</w:t>
      </w:r>
      <w:r>
        <w:rPr>
          <w:sz w:val="24"/>
          <w:szCs w:val="24"/>
          <w:lang w:val="lt-LT"/>
        </w:rPr>
        <w:t>i</w:t>
      </w:r>
      <w:r w:rsidRPr="00D66987">
        <w:rPr>
          <w:sz w:val="24"/>
          <w:szCs w:val="24"/>
          <w:lang w:val="lt-LT"/>
        </w:rPr>
        <w:t xml:space="preserve">tucijoms. </w:t>
      </w:r>
    </w:p>
    <w:p w:rsidR="00E72167" w:rsidRDefault="00E72167" w:rsidP="00E72167">
      <w:pPr>
        <w:pStyle w:val="NormalParagraphStyle"/>
      </w:pPr>
    </w:p>
    <w:p w:rsidR="00E72167" w:rsidRPr="003032D8" w:rsidRDefault="00E72167" w:rsidP="00E72167">
      <w:pPr>
        <w:pStyle w:val="NormalParagraphStyle"/>
        <w:ind w:firstLine="720"/>
      </w:pPr>
      <w:r w:rsidRPr="003032D8">
        <w:t>20</w:t>
      </w:r>
      <w:r w:rsidRPr="003032D8">
        <w:rPr>
          <w:lang w:val="en-US"/>
        </w:rPr>
        <w:t>11</w:t>
      </w:r>
      <w:r w:rsidRPr="003032D8">
        <w:t xml:space="preserve"> m. maudymosi sezono metu, tiriami mikrobiologiniai vandens kokybiniai rodikliai atitiko higienos normas visuose tiriamuose Vilniaus r. vandens telkiniuose</w:t>
      </w:r>
      <w:r w:rsidRPr="003032D8">
        <w:rPr>
          <w:lang w:val="lt-LT"/>
        </w:rPr>
        <w:t>.</w:t>
      </w:r>
    </w:p>
    <w:p w:rsidR="00E72167" w:rsidRDefault="00E72167" w:rsidP="00E72167">
      <w:pPr>
        <w:pStyle w:val="NormalParagraphStyle"/>
        <w:rPr>
          <w:rFonts w:ascii="Verdana" w:hAnsi="Verdana" w:cs="Verdana"/>
          <w:b/>
          <w:bCs/>
          <w:smallCaps/>
          <w:sz w:val="20"/>
          <w:szCs w:val="20"/>
        </w:rPr>
      </w:pPr>
      <w:r>
        <w:rPr>
          <w:lang w:val="lt-LT" w:eastAsia="lt-LT"/>
        </w:rPr>
        <w:lastRenderedPageBreak/>
        <w:drawing>
          <wp:inline distT="0" distB="0" distL="0" distR="0">
            <wp:extent cx="2714625" cy="5562600"/>
            <wp:effectExtent l="0" t="0" r="9525" b="19050"/>
            <wp:docPr id="10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Pr>
          <w:rFonts w:ascii="Verdana" w:hAnsi="Verdana" w:cs="Verdana"/>
          <w:b/>
          <w:bCs/>
          <w:smallCaps/>
          <w:sz w:val="20"/>
          <w:szCs w:val="20"/>
        </w:rPr>
        <w:t xml:space="preserve">        </w:t>
      </w:r>
      <w:r>
        <w:rPr>
          <w:lang w:val="lt-LT" w:eastAsia="lt-LT"/>
        </w:rPr>
        <w:drawing>
          <wp:inline distT="0" distB="0" distL="0" distR="0">
            <wp:extent cx="2762250" cy="5553075"/>
            <wp:effectExtent l="0" t="0" r="19050" b="9525"/>
            <wp:docPr id="10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E72167" w:rsidRPr="000D6473" w:rsidRDefault="00B1356B" w:rsidP="00E72167">
      <w:r w:rsidRPr="00B1356B">
        <w:rPr>
          <w:rFonts w:asciiTheme="minorHAnsi" w:hAnsiTheme="minorHAnsi" w:cstheme="minorBidi"/>
        </w:rPr>
        <w:pict>
          <v:shapetype id="_x0000_t202" coordsize="21600,21600" o:spt="202" path="m,l,21600r21600,l21600,xe">
            <v:stroke joinstyle="miter"/>
            <v:path gradientshapeok="t" o:connecttype="rect"/>
          </v:shapetype>
          <v:shape id="Text Box 2" o:spid="_x0000_s1028" type="#_x0000_t202" style="position:absolute;margin-left:231pt;margin-top:10.45pt;width:231pt;height:42.6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jW7IAIAAB0EAAAOAAAAZHJzL2Uyb0RvYy54bWysU81u2zAMvg/YOwi6L3acZGmMOEWXLsOA&#10;7gdo9wCyLMfCJFGTlNjZ04+S0zTbbsN0EEiR/ER+JNe3g1bkKJyXYCo6neSUCMOhkWZf0W9Puzc3&#10;lPjATMMUGFHRk/D0dvP61bq3pSigA9UIRxDE+LK3Fe1CsGWWed4JzfwErDBobMFpFlB1+6xxrEd0&#10;rbIiz99mPbjGOuDCe3y9H410k/DbVvDwpW29CERVFHML6XbpruOdbdas3DtmO8nPabB/yEIzafDT&#10;C9Q9C4wcnPwLSkvuwEMbJhx0Bm0ruUg1YDXT/I9qHjtmRaoFyfH2QpP/f7D88/GrI7Kp6CxfUmKY&#10;xiY9iSGQdzCQIvLTW1+i26NFxzDgM/Y51ertA/DvnhjYdszsxZ1z0HeCNZjfNEZmV6Ejjo8gdf8J&#10;GvyGHQIkoKF1OpKHdBBExz6dLr2JqXB8LFaz2TJHE0fbfLWYoRy/YOVztHU+fBCgSRQq6rD3CZ0d&#10;H3wYXZ9d4mcelGx2UqmkuH29VY4cGc7JLp0z+m9uypC+oqtFsUjIBmI8QrNSy4BzrKSu6E0eTwxn&#10;ZWTjvWmSHJhUo4xJK3OmJzIychOGekDHyFkNzQmJcjDOK+4XCh24n5T0OKsV9T8OzAlK1EeDZK+m&#10;83kc7qTMF8sCFXdtqa8tzHCEqmigZBS3IS1EzNfAHTallYmvl0zOueIMJsbP+xKH/FpPXi9bvfkF&#10;AAD//wMAUEsDBBQABgAIAAAAIQD5/NL43QAAAAkBAAAPAAAAZHJzL2Rvd25yZXYueG1sTI/NToRA&#10;EITvJr7DpE28GHeQILsgw0ZNNF735wEa6AUi00OY2YV9e9uT3rq7KtVfFdvFDupCk+8dG3haRaCI&#10;a9f03Bo4Hj4eN6B8QG5wcEwGruRhW97eFJg3buYdXfahVRLCPkcDXQhjrrWvO7LoV24kFu3kJotB&#10;1qnVzYSzhNtBx1GUaos9y4cOR3rvqP7en62B09f88JzN1Wc4rndJ+ob9unJXY+7vltcXUIGW8GeG&#10;X3xBh1KYKnfmxqvBQJLG0iUYiKMMlBiyOJFDJcMmA10W+n+D8gcAAP//AwBQSwECLQAUAAYACAAA&#10;ACEAtoM4kv4AAADhAQAAEwAAAAAAAAAAAAAAAAAAAAAAW0NvbnRlbnRfVHlwZXNdLnhtbFBLAQIt&#10;ABQABgAIAAAAIQA4/SH/1gAAAJQBAAALAAAAAAAAAAAAAAAAAC8BAABfcmVscy8ucmVsc1BLAQIt&#10;ABQABgAIAAAAIQBcujW7IAIAAB0EAAAOAAAAAAAAAAAAAAAAAC4CAABkcnMvZTJvRG9jLnhtbFBL&#10;AQItABQABgAIAAAAIQD5/NL43QAAAAkBAAAPAAAAAAAAAAAAAAAAAHoEAABkcnMvZG93bnJldi54&#10;bWxQSwUGAAAAAAQABADzAAAAhAUAAAAA&#10;" stroked="f">
            <v:textbox>
              <w:txbxContent>
                <w:p w:rsidR="00EA0BC5" w:rsidRPr="000D6473" w:rsidRDefault="00EA0BC5" w:rsidP="00E72167">
                  <w:r w:rsidRPr="000D6473">
                    <w:t>2 pav. Žarninių</w:t>
                  </w:r>
                  <w:r>
                    <w:t xml:space="preserve"> lazdelių kolonijas sudarančių </w:t>
                  </w:r>
                  <w:r w:rsidRPr="000D6473">
                    <w:t xml:space="preserve">vienetų skaičiaus norma -1000 </w:t>
                  </w:r>
                </w:p>
                <w:p w:rsidR="00EA0BC5" w:rsidRDefault="00EA0BC5" w:rsidP="00E72167"/>
              </w:txbxContent>
            </v:textbox>
          </v:shape>
        </w:pict>
      </w:r>
      <w:r w:rsidR="00E72167">
        <w:br/>
      </w:r>
      <w:r w:rsidR="00E72167" w:rsidRPr="000D6473">
        <w:t xml:space="preserve">1 pav. Žarninių enterokokų kolonijas sudarančių </w:t>
      </w:r>
      <w:r w:rsidR="00E72167" w:rsidRPr="000D6473">
        <w:br/>
        <w:t xml:space="preserve">vienetų skaičiaus norma -100 </w:t>
      </w: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rFonts w:ascii="Verdana" w:hAnsi="Verdana" w:cs="Verdana"/>
          <w:b/>
          <w:bCs/>
          <w:smallCaps/>
          <w:sz w:val="20"/>
          <w:szCs w:val="20"/>
          <w:lang w:val="en-US"/>
        </w:rPr>
      </w:pPr>
    </w:p>
    <w:p w:rsidR="00E72167" w:rsidRDefault="00E72167" w:rsidP="00E72167">
      <w:pPr>
        <w:pStyle w:val="NormalParagraphStyle"/>
        <w:rPr>
          <w:b/>
          <w:bCs/>
          <w:smallCaps/>
          <w:lang w:val="en-US"/>
        </w:rPr>
      </w:pPr>
    </w:p>
    <w:p w:rsidR="00E72167" w:rsidRPr="00E72167" w:rsidRDefault="00E72167" w:rsidP="00E72167">
      <w:pPr>
        <w:pStyle w:val="NormalParagraphStyle"/>
        <w:rPr>
          <w:b/>
          <w:bCs/>
          <w:smallCaps/>
        </w:rPr>
      </w:pPr>
      <w:r w:rsidRPr="00617A3B">
        <w:rPr>
          <w:b/>
          <w:bCs/>
          <w:smallCaps/>
          <w:lang w:val="en-US"/>
        </w:rPr>
        <w:lastRenderedPageBreak/>
        <w:t xml:space="preserve">2011 m. </w:t>
      </w:r>
      <w:r w:rsidRPr="00617A3B">
        <w:rPr>
          <w:b/>
          <w:bCs/>
          <w:smallCaps/>
        </w:rPr>
        <w:t>tyrimų rezultatų suvestinė</w:t>
      </w:r>
    </w:p>
    <w:tbl>
      <w:tblPr>
        <w:tblW w:w="6760" w:type="dxa"/>
        <w:tblInd w:w="93" w:type="dxa"/>
        <w:tblLook w:val="04A0"/>
      </w:tblPr>
      <w:tblGrid>
        <w:gridCol w:w="1540"/>
        <w:gridCol w:w="1116"/>
        <w:gridCol w:w="1161"/>
        <w:gridCol w:w="960"/>
        <w:gridCol w:w="1120"/>
        <w:gridCol w:w="960"/>
      </w:tblGrid>
      <w:tr w:rsidR="00E72167" w:rsidRPr="002320EB" w:rsidTr="00E72167">
        <w:trPr>
          <w:trHeight w:val="510"/>
        </w:trPr>
        <w:tc>
          <w:tcPr>
            <w:tcW w:w="1540" w:type="dxa"/>
            <w:tcBorders>
              <w:top w:val="single" w:sz="4" w:space="0" w:color="auto"/>
              <w:left w:val="single" w:sz="4" w:space="0" w:color="auto"/>
              <w:bottom w:val="single" w:sz="4" w:space="0" w:color="auto"/>
              <w:right w:val="single" w:sz="4" w:space="0" w:color="auto"/>
            </w:tcBorders>
            <w:shd w:val="clear" w:color="B8CCE4" w:fill="C5D9F1"/>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 xml:space="preserve">Maudyklos pavadinimas </w:t>
            </w:r>
          </w:p>
        </w:tc>
        <w:tc>
          <w:tcPr>
            <w:tcW w:w="1060" w:type="dxa"/>
            <w:tcBorders>
              <w:top w:val="single" w:sz="4" w:space="0" w:color="auto"/>
              <w:left w:val="nil"/>
              <w:bottom w:val="single" w:sz="4" w:space="0" w:color="auto"/>
              <w:right w:val="single" w:sz="4" w:space="0" w:color="auto"/>
            </w:tcBorders>
            <w:shd w:val="clear" w:color="B8CCE4" w:fill="C5D9F1"/>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Bandinio ėmimo data</w:t>
            </w:r>
          </w:p>
        </w:tc>
        <w:tc>
          <w:tcPr>
            <w:tcW w:w="4160" w:type="dxa"/>
            <w:gridSpan w:val="4"/>
            <w:tcBorders>
              <w:top w:val="single" w:sz="4" w:space="0" w:color="auto"/>
              <w:left w:val="nil"/>
              <w:bottom w:val="single" w:sz="4" w:space="0" w:color="auto"/>
              <w:right w:val="single" w:sz="4" w:space="0" w:color="auto"/>
            </w:tcBorders>
            <w:shd w:val="clear" w:color="B8CCE4"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Mikrobiologiniai parametrai</w:t>
            </w:r>
          </w:p>
        </w:tc>
      </w:tr>
      <w:tr w:rsidR="00E72167" w:rsidRPr="002320EB" w:rsidTr="00E72167">
        <w:trPr>
          <w:trHeight w:val="765"/>
        </w:trPr>
        <w:tc>
          <w:tcPr>
            <w:tcW w:w="1540" w:type="dxa"/>
            <w:tcBorders>
              <w:top w:val="nil"/>
              <w:left w:val="single" w:sz="4" w:space="0" w:color="auto"/>
              <w:bottom w:val="single" w:sz="4" w:space="0" w:color="auto"/>
              <w:right w:val="single" w:sz="4" w:space="0" w:color="auto"/>
            </w:tcBorders>
            <w:shd w:val="clear" w:color="DCE6F1" w:fill="C5D9F1"/>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DCE6F1" w:fill="C5D9F1"/>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 </w:t>
            </w:r>
          </w:p>
        </w:tc>
        <w:tc>
          <w:tcPr>
            <w:tcW w:w="1120" w:type="dxa"/>
            <w:tcBorders>
              <w:top w:val="nil"/>
              <w:left w:val="nil"/>
              <w:bottom w:val="single" w:sz="4" w:space="0" w:color="auto"/>
              <w:right w:val="single" w:sz="4" w:space="0" w:color="auto"/>
            </w:tcBorders>
            <w:shd w:val="clear" w:color="DCE6F1" w:fill="C5D9F1"/>
            <w:hideMark/>
          </w:tcPr>
          <w:p w:rsidR="00E72167" w:rsidRPr="002320EB" w:rsidRDefault="00E72167" w:rsidP="00E72167">
            <w:pPr>
              <w:spacing w:after="0"/>
              <w:rPr>
                <w:rFonts w:eastAsia="Times New Roman"/>
                <w:sz w:val="20"/>
                <w:szCs w:val="20"/>
              </w:rPr>
            </w:pPr>
            <w:r w:rsidRPr="002320EB">
              <w:rPr>
                <w:rFonts w:eastAsia="Times New Roman"/>
                <w:sz w:val="20"/>
                <w:szCs w:val="20"/>
              </w:rPr>
              <w:t xml:space="preserve">Žarniniai enterokokai (ksv/100 ml) </w:t>
            </w:r>
          </w:p>
        </w:tc>
        <w:tc>
          <w:tcPr>
            <w:tcW w:w="960" w:type="dxa"/>
            <w:tcBorders>
              <w:top w:val="nil"/>
              <w:left w:val="nil"/>
              <w:bottom w:val="single" w:sz="4" w:space="0" w:color="auto"/>
              <w:right w:val="single" w:sz="4" w:space="0" w:color="auto"/>
            </w:tcBorders>
            <w:shd w:val="clear" w:color="DCE6F1" w:fill="C5D9F1"/>
            <w:hideMark/>
          </w:tcPr>
          <w:p w:rsidR="00E72167" w:rsidRPr="002320EB" w:rsidRDefault="00E72167" w:rsidP="00E72167">
            <w:pPr>
              <w:spacing w:after="0"/>
              <w:rPr>
                <w:rFonts w:eastAsia="Times New Roman"/>
                <w:sz w:val="20"/>
                <w:szCs w:val="20"/>
              </w:rPr>
            </w:pPr>
            <w:r w:rsidRPr="002320EB">
              <w:rPr>
                <w:rFonts w:eastAsia="Times New Roman"/>
                <w:sz w:val="20"/>
                <w:szCs w:val="20"/>
              </w:rPr>
              <w:t>Paklaida</w:t>
            </w:r>
          </w:p>
        </w:tc>
        <w:tc>
          <w:tcPr>
            <w:tcW w:w="1120" w:type="dxa"/>
            <w:tcBorders>
              <w:top w:val="nil"/>
              <w:left w:val="nil"/>
              <w:bottom w:val="single" w:sz="4" w:space="0" w:color="auto"/>
              <w:right w:val="single" w:sz="4" w:space="0" w:color="auto"/>
            </w:tcBorders>
            <w:shd w:val="clear" w:color="DCE6F1" w:fill="C5D9F1"/>
            <w:hideMark/>
          </w:tcPr>
          <w:p w:rsidR="00E72167" w:rsidRPr="002320EB" w:rsidRDefault="00E72167" w:rsidP="00E72167">
            <w:pPr>
              <w:spacing w:after="0"/>
              <w:rPr>
                <w:rFonts w:eastAsia="Times New Roman"/>
                <w:sz w:val="20"/>
                <w:szCs w:val="20"/>
              </w:rPr>
            </w:pPr>
            <w:r w:rsidRPr="002320EB">
              <w:rPr>
                <w:rFonts w:eastAsia="Times New Roman"/>
                <w:sz w:val="20"/>
                <w:szCs w:val="20"/>
              </w:rPr>
              <w:t>Žarninės lazdelės (ksv/100 ml)</w:t>
            </w:r>
          </w:p>
        </w:tc>
        <w:tc>
          <w:tcPr>
            <w:tcW w:w="960" w:type="dxa"/>
            <w:tcBorders>
              <w:top w:val="nil"/>
              <w:left w:val="nil"/>
              <w:bottom w:val="single" w:sz="4" w:space="0" w:color="auto"/>
              <w:right w:val="single" w:sz="4" w:space="0" w:color="auto"/>
            </w:tcBorders>
            <w:shd w:val="clear" w:color="DCE6F1" w:fill="C5D9F1"/>
            <w:hideMark/>
          </w:tcPr>
          <w:p w:rsidR="00E72167" w:rsidRPr="002320EB" w:rsidRDefault="00E72167" w:rsidP="00E72167">
            <w:pPr>
              <w:spacing w:after="0"/>
              <w:rPr>
                <w:rFonts w:eastAsia="Times New Roman"/>
                <w:sz w:val="20"/>
                <w:szCs w:val="20"/>
              </w:rPr>
            </w:pPr>
            <w:r w:rsidRPr="002320EB">
              <w:rPr>
                <w:rFonts w:eastAsia="Times New Roman"/>
                <w:sz w:val="20"/>
                <w:szCs w:val="20"/>
              </w:rPr>
              <w:t>Paklaida</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B8CCE4" w:fill="C5D9F1"/>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120" w:type="dxa"/>
            <w:tcBorders>
              <w:top w:val="nil"/>
              <w:left w:val="nil"/>
              <w:bottom w:val="single" w:sz="4" w:space="0" w:color="auto"/>
              <w:right w:val="single" w:sz="4" w:space="0" w:color="auto"/>
            </w:tcBorders>
            <w:shd w:val="clear" w:color="B8CCE4" w:fill="C5D9F1"/>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100</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 </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1 000</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 </w:t>
            </w:r>
          </w:p>
        </w:tc>
      </w:tr>
      <w:tr w:rsidR="00E72167" w:rsidRPr="002320EB" w:rsidTr="00E72167">
        <w:trPr>
          <w:trHeight w:val="510"/>
        </w:trPr>
        <w:tc>
          <w:tcPr>
            <w:tcW w:w="1540" w:type="dxa"/>
            <w:tcBorders>
              <w:top w:val="nil"/>
              <w:left w:val="single" w:sz="4" w:space="0" w:color="auto"/>
              <w:bottom w:val="single" w:sz="4" w:space="0" w:color="auto"/>
              <w:right w:val="single" w:sz="4" w:space="0" w:color="auto"/>
            </w:tcBorders>
            <w:shd w:val="clear" w:color="DCE6F1" w:fill="8DB4E2"/>
            <w:vAlign w:val="center"/>
            <w:hideMark/>
          </w:tcPr>
          <w:p w:rsidR="00E72167" w:rsidRPr="002320EB" w:rsidRDefault="00E72167" w:rsidP="00E72167">
            <w:pPr>
              <w:spacing w:after="0"/>
              <w:rPr>
                <w:rFonts w:eastAsia="Times New Roman"/>
                <w:sz w:val="28"/>
                <w:szCs w:val="28"/>
              </w:rPr>
            </w:pPr>
            <w:r w:rsidRPr="002320EB">
              <w:rPr>
                <w:rFonts w:eastAsia="Times New Roman"/>
                <w:sz w:val="28"/>
                <w:szCs w:val="28"/>
              </w:rPr>
              <w:t>Gėlos ež.</w:t>
            </w:r>
          </w:p>
        </w:tc>
        <w:tc>
          <w:tcPr>
            <w:tcW w:w="1060" w:type="dxa"/>
            <w:tcBorders>
              <w:top w:val="nil"/>
              <w:left w:val="nil"/>
              <w:bottom w:val="single" w:sz="4" w:space="0" w:color="auto"/>
              <w:right w:val="single" w:sz="4" w:space="0" w:color="auto"/>
            </w:tcBorders>
            <w:shd w:val="clear" w:color="000000" w:fill="8DB4E2"/>
            <w:noWrap/>
            <w:vAlign w:val="center"/>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2011.06.27</w:t>
            </w:r>
          </w:p>
        </w:tc>
        <w:tc>
          <w:tcPr>
            <w:tcW w:w="1120" w:type="dxa"/>
            <w:tcBorders>
              <w:top w:val="nil"/>
              <w:left w:val="nil"/>
              <w:bottom w:val="single" w:sz="4" w:space="0" w:color="auto"/>
              <w:right w:val="single" w:sz="4" w:space="0" w:color="auto"/>
            </w:tcBorders>
            <w:shd w:val="clear" w:color="DCE6F1" w:fill="8DB4E2"/>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c>
          <w:tcPr>
            <w:tcW w:w="960" w:type="dxa"/>
            <w:tcBorders>
              <w:top w:val="nil"/>
              <w:left w:val="nil"/>
              <w:bottom w:val="single" w:sz="4" w:space="0" w:color="auto"/>
              <w:right w:val="single" w:sz="4" w:space="0" w:color="auto"/>
            </w:tcBorders>
            <w:shd w:val="clear" w:color="000000" w:fill="8DB4E2"/>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c>
          <w:tcPr>
            <w:tcW w:w="1120" w:type="dxa"/>
            <w:tcBorders>
              <w:top w:val="nil"/>
              <w:left w:val="nil"/>
              <w:bottom w:val="single" w:sz="4" w:space="0" w:color="auto"/>
              <w:right w:val="single" w:sz="4" w:space="0" w:color="auto"/>
            </w:tcBorders>
            <w:shd w:val="clear" w:color="DCE6F1" w:fill="8DB4E2"/>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33</w:t>
            </w:r>
          </w:p>
        </w:tc>
        <w:tc>
          <w:tcPr>
            <w:tcW w:w="960" w:type="dxa"/>
            <w:tcBorders>
              <w:top w:val="nil"/>
              <w:left w:val="nil"/>
              <w:bottom w:val="single" w:sz="4" w:space="0" w:color="auto"/>
              <w:right w:val="single" w:sz="4" w:space="0" w:color="auto"/>
            </w:tcBorders>
            <w:shd w:val="clear" w:color="000000" w:fill="8DB4E2"/>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±16</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2011.07.05</w:t>
            </w:r>
          </w:p>
        </w:tc>
        <w:tc>
          <w:tcPr>
            <w:tcW w:w="112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96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w:t>
            </w:r>
          </w:p>
        </w:tc>
        <w:tc>
          <w:tcPr>
            <w:tcW w:w="96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2011.07.19</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960" w:type="dxa"/>
            <w:tcBorders>
              <w:top w:val="nil"/>
              <w:left w:val="nil"/>
              <w:bottom w:val="single" w:sz="4" w:space="0" w:color="auto"/>
              <w:right w:val="single" w:sz="4" w:space="0" w:color="auto"/>
            </w:tcBorders>
            <w:shd w:val="clear" w:color="DCE6F1"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c>
          <w:tcPr>
            <w:tcW w:w="960" w:type="dxa"/>
            <w:tcBorders>
              <w:top w:val="nil"/>
              <w:left w:val="nil"/>
              <w:bottom w:val="single" w:sz="4" w:space="0" w:color="auto"/>
              <w:right w:val="single" w:sz="4" w:space="0" w:color="auto"/>
            </w:tcBorders>
            <w:shd w:val="clear" w:color="DCE6F1"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2011.08.01</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76</w:t>
            </w:r>
          </w:p>
        </w:tc>
        <w:tc>
          <w:tcPr>
            <w:tcW w:w="96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±18</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15</w:t>
            </w:r>
          </w:p>
        </w:tc>
        <w:tc>
          <w:tcPr>
            <w:tcW w:w="96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±11</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2011.08.18</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c>
          <w:tcPr>
            <w:tcW w:w="960" w:type="dxa"/>
            <w:tcBorders>
              <w:top w:val="nil"/>
              <w:left w:val="nil"/>
              <w:bottom w:val="single" w:sz="4" w:space="0" w:color="auto"/>
              <w:right w:val="single" w:sz="4" w:space="0" w:color="auto"/>
            </w:tcBorders>
            <w:shd w:val="clear" w:color="DCE6F1"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10</w:t>
            </w:r>
          </w:p>
        </w:tc>
        <w:tc>
          <w:tcPr>
            <w:tcW w:w="960" w:type="dxa"/>
            <w:tcBorders>
              <w:top w:val="nil"/>
              <w:left w:val="nil"/>
              <w:bottom w:val="single" w:sz="4" w:space="0" w:color="auto"/>
              <w:right w:val="single" w:sz="4" w:space="0" w:color="auto"/>
            </w:tcBorders>
            <w:shd w:val="clear" w:color="DCE6F1"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±9</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2011.09.01</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13</w:t>
            </w:r>
          </w:p>
        </w:tc>
        <w:tc>
          <w:tcPr>
            <w:tcW w:w="96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w:t>
            </w:r>
          </w:p>
        </w:tc>
        <w:tc>
          <w:tcPr>
            <w:tcW w:w="96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r>
      <w:tr w:rsidR="00E72167" w:rsidRPr="002320EB" w:rsidTr="00E72167">
        <w:trPr>
          <w:trHeight w:val="375"/>
        </w:trPr>
        <w:tc>
          <w:tcPr>
            <w:tcW w:w="1540" w:type="dxa"/>
            <w:tcBorders>
              <w:top w:val="nil"/>
              <w:left w:val="single" w:sz="4" w:space="0" w:color="auto"/>
              <w:bottom w:val="single" w:sz="4" w:space="0" w:color="auto"/>
              <w:right w:val="single" w:sz="4" w:space="0" w:color="auto"/>
            </w:tcBorders>
            <w:shd w:val="clear" w:color="B8CCE4" w:fill="8DB4E2"/>
            <w:vAlign w:val="center"/>
            <w:hideMark/>
          </w:tcPr>
          <w:p w:rsidR="00E72167" w:rsidRPr="002320EB" w:rsidRDefault="00E72167" w:rsidP="00E72167">
            <w:pPr>
              <w:spacing w:after="0"/>
              <w:rPr>
                <w:rFonts w:eastAsia="Times New Roman"/>
                <w:sz w:val="28"/>
                <w:szCs w:val="28"/>
              </w:rPr>
            </w:pPr>
            <w:r w:rsidRPr="002320EB">
              <w:rPr>
                <w:rFonts w:eastAsia="Times New Roman"/>
                <w:sz w:val="28"/>
                <w:szCs w:val="28"/>
              </w:rPr>
              <w:t>Asvejos ež.</w:t>
            </w:r>
          </w:p>
        </w:tc>
        <w:tc>
          <w:tcPr>
            <w:tcW w:w="10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2011.06.20</w:t>
            </w:r>
          </w:p>
        </w:tc>
        <w:tc>
          <w:tcPr>
            <w:tcW w:w="112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w:t>
            </w:r>
          </w:p>
        </w:tc>
        <w:tc>
          <w:tcPr>
            <w:tcW w:w="9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112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9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±4</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2011.07.05</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2011.07.19</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11</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±9</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2011.08.01</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4</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±4</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2011.08.18</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10</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12</w:t>
            </w:r>
          </w:p>
        </w:tc>
        <w:tc>
          <w:tcPr>
            <w:tcW w:w="960" w:type="dxa"/>
            <w:tcBorders>
              <w:top w:val="nil"/>
              <w:left w:val="nil"/>
              <w:bottom w:val="single" w:sz="4" w:space="0" w:color="auto"/>
              <w:right w:val="single" w:sz="4" w:space="0" w:color="auto"/>
            </w:tcBorders>
            <w:shd w:val="clear" w:color="B8CCE4"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±10</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2011.09.01</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w:t>
            </w:r>
          </w:p>
        </w:tc>
        <w:tc>
          <w:tcPr>
            <w:tcW w:w="960" w:type="dxa"/>
            <w:tcBorders>
              <w:top w:val="nil"/>
              <w:left w:val="nil"/>
              <w:bottom w:val="single" w:sz="4" w:space="0" w:color="auto"/>
              <w:right w:val="single" w:sz="4" w:space="0" w:color="auto"/>
            </w:tcBorders>
            <w:shd w:val="clear" w:color="DCE6F1"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960" w:type="dxa"/>
            <w:tcBorders>
              <w:top w:val="nil"/>
              <w:left w:val="nil"/>
              <w:bottom w:val="single" w:sz="4" w:space="0" w:color="auto"/>
              <w:right w:val="single" w:sz="4" w:space="0" w:color="auto"/>
            </w:tcBorders>
            <w:shd w:val="clear" w:color="DCE6F1" w:fill="C5D9F1"/>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w:t>
            </w:r>
          </w:p>
        </w:tc>
      </w:tr>
      <w:tr w:rsidR="00E72167" w:rsidRPr="002320EB" w:rsidTr="00E72167">
        <w:trPr>
          <w:trHeight w:val="375"/>
        </w:trPr>
        <w:tc>
          <w:tcPr>
            <w:tcW w:w="1540" w:type="dxa"/>
            <w:tcBorders>
              <w:top w:val="nil"/>
              <w:left w:val="single" w:sz="4" w:space="0" w:color="auto"/>
              <w:bottom w:val="single" w:sz="4" w:space="0" w:color="auto"/>
              <w:right w:val="single" w:sz="4" w:space="0" w:color="auto"/>
            </w:tcBorders>
            <w:shd w:val="clear" w:color="DCE6F1" w:fill="8DB4E2"/>
            <w:vAlign w:val="center"/>
            <w:hideMark/>
          </w:tcPr>
          <w:p w:rsidR="00E72167" w:rsidRPr="002320EB" w:rsidRDefault="00E72167" w:rsidP="00E72167">
            <w:pPr>
              <w:spacing w:after="0"/>
              <w:rPr>
                <w:rFonts w:eastAsia="Times New Roman"/>
                <w:sz w:val="28"/>
                <w:szCs w:val="28"/>
              </w:rPr>
            </w:pPr>
            <w:r w:rsidRPr="002320EB">
              <w:rPr>
                <w:rFonts w:eastAsia="Times New Roman"/>
                <w:sz w:val="28"/>
                <w:szCs w:val="28"/>
              </w:rPr>
              <w:t>Vilnojos ež.</w:t>
            </w:r>
          </w:p>
        </w:tc>
        <w:tc>
          <w:tcPr>
            <w:tcW w:w="1060" w:type="dxa"/>
            <w:tcBorders>
              <w:top w:val="nil"/>
              <w:left w:val="nil"/>
              <w:bottom w:val="single" w:sz="4" w:space="0" w:color="auto"/>
              <w:right w:val="single" w:sz="4" w:space="0" w:color="auto"/>
            </w:tcBorders>
            <w:shd w:val="clear" w:color="DCE6F1"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2011.06.20</w:t>
            </w:r>
          </w:p>
        </w:tc>
        <w:tc>
          <w:tcPr>
            <w:tcW w:w="1120" w:type="dxa"/>
            <w:tcBorders>
              <w:top w:val="nil"/>
              <w:left w:val="nil"/>
              <w:bottom w:val="single" w:sz="4" w:space="0" w:color="auto"/>
              <w:right w:val="single" w:sz="4" w:space="0" w:color="auto"/>
            </w:tcBorders>
            <w:shd w:val="clear" w:color="DCE6F1"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32</w:t>
            </w:r>
          </w:p>
        </w:tc>
        <w:tc>
          <w:tcPr>
            <w:tcW w:w="960" w:type="dxa"/>
            <w:tcBorders>
              <w:top w:val="nil"/>
              <w:left w:val="nil"/>
              <w:bottom w:val="single" w:sz="4" w:space="0" w:color="auto"/>
              <w:right w:val="single" w:sz="4" w:space="0" w:color="auto"/>
            </w:tcBorders>
            <w:shd w:val="clear" w:color="DCE6F1" w:fill="8DB4E2"/>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 xml:space="preserve">±11    </w:t>
            </w:r>
          </w:p>
        </w:tc>
        <w:tc>
          <w:tcPr>
            <w:tcW w:w="1120" w:type="dxa"/>
            <w:tcBorders>
              <w:top w:val="nil"/>
              <w:left w:val="nil"/>
              <w:bottom w:val="single" w:sz="4" w:space="0" w:color="auto"/>
              <w:right w:val="single" w:sz="4" w:space="0" w:color="auto"/>
            </w:tcBorders>
            <w:shd w:val="clear" w:color="DCE6F1"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57</w:t>
            </w:r>
          </w:p>
        </w:tc>
        <w:tc>
          <w:tcPr>
            <w:tcW w:w="960" w:type="dxa"/>
            <w:tcBorders>
              <w:top w:val="nil"/>
              <w:left w:val="nil"/>
              <w:bottom w:val="single" w:sz="4" w:space="0" w:color="auto"/>
              <w:right w:val="single" w:sz="4" w:space="0" w:color="auto"/>
            </w:tcBorders>
            <w:shd w:val="clear" w:color="DCE6F1" w:fill="8DB4E2"/>
            <w:noWrap/>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±22</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2011.07.05</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9</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±9</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2011.07.19</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4</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2011.08.01</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52</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±15</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9</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±8</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2011.08.18</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10</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11</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±9</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2011.09.01</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r>
      <w:tr w:rsidR="00E72167" w:rsidRPr="002320EB" w:rsidTr="00E72167">
        <w:trPr>
          <w:trHeight w:val="375"/>
        </w:trPr>
        <w:tc>
          <w:tcPr>
            <w:tcW w:w="1540" w:type="dxa"/>
            <w:tcBorders>
              <w:top w:val="nil"/>
              <w:left w:val="single" w:sz="4" w:space="0" w:color="auto"/>
              <w:bottom w:val="single" w:sz="4" w:space="0" w:color="auto"/>
              <w:right w:val="single" w:sz="4" w:space="0" w:color="auto"/>
            </w:tcBorders>
            <w:shd w:val="clear" w:color="B8CCE4" w:fill="8DB4E2"/>
            <w:vAlign w:val="center"/>
            <w:hideMark/>
          </w:tcPr>
          <w:p w:rsidR="00E72167" w:rsidRPr="002320EB" w:rsidRDefault="00E72167" w:rsidP="00E72167">
            <w:pPr>
              <w:spacing w:after="0"/>
              <w:rPr>
                <w:rFonts w:eastAsia="Times New Roman"/>
                <w:sz w:val="28"/>
                <w:szCs w:val="28"/>
              </w:rPr>
            </w:pPr>
            <w:r w:rsidRPr="002320EB">
              <w:rPr>
                <w:rFonts w:eastAsia="Times New Roman"/>
                <w:sz w:val="28"/>
                <w:szCs w:val="28"/>
              </w:rPr>
              <w:t>Ilgučių ež.</w:t>
            </w:r>
          </w:p>
        </w:tc>
        <w:tc>
          <w:tcPr>
            <w:tcW w:w="10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2011.06.23</w:t>
            </w:r>
          </w:p>
        </w:tc>
        <w:tc>
          <w:tcPr>
            <w:tcW w:w="112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9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112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8</w:t>
            </w:r>
          </w:p>
        </w:tc>
        <w:tc>
          <w:tcPr>
            <w:tcW w:w="9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±8</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2011.07.05</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19</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±12</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2011.07.19</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86</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±19</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73</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±24</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000000" w:fill="C5D9F1"/>
            <w:vAlign w:val="center"/>
            <w:hideMark/>
          </w:tcPr>
          <w:p w:rsidR="00E72167" w:rsidRPr="002320EB" w:rsidRDefault="00E72167" w:rsidP="00E72167">
            <w:pPr>
              <w:spacing w:after="0"/>
              <w:jc w:val="right"/>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2011.08.01</w:t>
            </w:r>
          </w:p>
        </w:tc>
        <w:tc>
          <w:tcPr>
            <w:tcW w:w="1120" w:type="dxa"/>
            <w:tcBorders>
              <w:top w:val="nil"/>
              <w:left w:val="nil"/>
              <w:bottom w:val="single" w:sz="4" w:space="0" w:color="auto"/>
              <w:right w:val="single" w:sz="4" w:space="0" w:color="auto"/>
            </w:tcBorders>
            <w:shd w:val="clear" w:color="000000"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11</w:t>
            </w:r>
          </w:p>
        </w:tc>
        <w:tc>
          <w:tcPr>
            <w:tcW w:w="960" w:type="dxa"/>
            <w:tcBorders>
              <w:top w:val="nil"/>
              <w:left w:val="nil"/>
              <w:bottom w:val="single" w:sz="4" w:space="0" w:color="auto"/>
              <w:right w:val="single" w:sz="4" w:space="0" w:color="auto"/>
            </w:tcBorders>
            <w:shd w:val="clear" w:color="000000"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1120" w:type="dxa"/>
            <w:tcBorders>
              <w:top w:val="nil"/>
              <w:left w:val="nil"/>
              <w:bottom w:val="single" w:sz="4" w:space="0" w:color="auto"/>
              <w:right w:val="single" w:sz="4" w:space="0" w:color="auto"/>
            </w:tcBorders>
            <w:shd w:val="clear" w:color="000000"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16</w:t>
            </w:r>
          </w:p>
        </w:tc>
        <w:tc>
          <w:tcPr>
            <w:tcW w:w="960" w:type="dxa"/>
            <w:tcBorders>
              <w:top w:val="nil"/>
              <w:left w:val="nil"/>
              <w:bottom w:val="single" w:sz="4" w:space="0" w:color="auto"/>
              <w:right w:val="single" w:sz="4" w:space="0" w:color="auto"/>
            </w:tcBorders>
            <w:shd w:val="clear" w:color="000000"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±11</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B8CCE4"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2011.08.18</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45</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±14</w:t>
            </w:r>
          </w:p>
        </w:tc>
        <w:tc>
          <w:tcPr>
            <w:tcW w:w="112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35</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±17</w:t>
            </w:r>
          </w:p>
        </w:tc>
      </w:tr>
      <w:tr w:rsidR="00E72167" w:rsidRPr="002320EB" w:rsidTr="00E72167">
        <w:trPr>
          <w:trHeight w:val="924"/>
        </w:trPr>
        <w:tc>
          <w:tcPr>
            <w:tcW w:w="1540" w:type="dxa"/>
            <w:tcBorders>
              <w:top w:val="nil"/>
              <w:left w:val="single" w:sz="4" w:space="0" w:color="auto"/>
              <w:bottom w:val="single" w:sz="4" w:space="0" w:color="auto"/>
              <w:right w:val="single" w:sz="4" w:space="0" w:color="auto"/>
            </w:tcBorders>
            <w:shd w:val="clear" w:color="DCE6F1" w:fill="C5D9F1"/>
            <w:vAlign w:val="center"/>
            <w:hideMark/>
          </w:tcPr>
          <w:p w:rsidR="00E72167" w:rsidRPr="002320EB" w:rsidRDefault="00E72167" w:rsidP="00E72167">
            <w:pPr>
              <w:spacing w:after="0"/>
              <w:rPr>
                <w:rFonts w:eastAsia="Times New Roman"/>
                <w:sz w:val="20"/>
                <w:szCs w:val="20"/>
              </w:rPr>
            </w:pPr>
            <w:r w:rsidRPr="002320EB">
              <w:rPr>
                <w:rFonts w:eastAsia="Times New Roman"/>
                <w:sz w:val="20"/>
                <w:szCs w:val="20"/>
              </w:rPr>
              <w:t> </w:t>
            </w:r>
          </w:p>
        </w:tc>
        <w:tc>
          <w:tcPr>
            <w:tcW w:w="10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2011.09.01</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112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29</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±15</w:t>
            </w:r>
          </w:p>
        </w:tc>
      </w:tr>
      <w:tr w:rsidR="00E72167" w:rsidRPr="002320EB" w:rsidTr="00E72167">
        <w:trPr>
          <w:trHeight w:val="390"/>
        </w:trPr>
        <w:tc>
          <w:tcPr>
            <w:tcW w:w="1540" w:type="dxa"/>
            <w:tcBorders>
              <w:top w:val="nil"/>
              <w:left w:val="single" w:sz="4" w:space="0" w:color="auto"/>
              <w:bottom w:val="single" w:sz="4" w:space="0" w:color="auto"/>
              <w:right w:val="single" w:sz="4" w:space="0" w:color="auto"/>
            </w:tcBorders>
            <w:shd w:val="clear" w:color="B8CCE4" w:fill="8DB4E2"/>
            <w:hideMark/>
          </w:tcPr>
          <w:p w:rsidR="00E72167" w:rsidRPr="002320EB" w:rsidRDefault="00E72167" w:rsidP="00E72167">
            <w:pPr>
              <w:spacing w:after="0"/>
              <w:rPr>
                <w:rFonts w:eastAsia="Times New Roman"/>
                <w:sz w:val="28"/>
                <w:szCs w:val="28"/>
              </w:rPr>
            </w:pPr>
            <w:r w:rsidRPr="002320EB">
              <w:rPr>
                <w:rFonts w:eastAsia="Times New Roman"/>
                <w:sz w:val="28"/>
                <w:szCs w:val="28"/>
              </w:rPr>
              <w:t>Prūdiškių tv.</w:t>
            </w:r>
          </w:p>
        </w:tc>
        <w:tc>
          <w:tcPr>
            <w:tcW w:w="10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2011.06.22</w:t>
            </w:r>
          </w:p>
        </w:tc>
        <w:tc>
          <w:tcPr>
            <w:tcW w:w="112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11</w:t>
            </w:r>
          </w:p>
        </w:tc>
        <w:tc>
          <w:tcPr>
            <w:tcW w:w="9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112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14</w:t>
            </w:r>
          </w:p>
        </w:tc>
        <w:tc>
          <w:tcPr>
            <w:tcW w:w="960" w:type="dxa"/>
            <w:tcBorders>
              <w:top w:val="nil"/>
              <w:left w:val="nil"/>
              <w:bottom w:val="single" w:sz="4" w:space="0" w:color="auto"/>
              <w:right w:val="single" w:sz="4" w:space="0" w:color="auto"/>
            </w:tcBorders>
            <w:shd w:val="clear" w:color="B8CCE4" w:fill="8DB4E2"/>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±11</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E72167" w:rsidRPr="002320EB" w:rsidRDefault="00E72167" w:rsidP="00E72167">
            <w:pPr>
              <w:spacing w:after="0"/>
              <w:rPr>
                <w:rFonts w:ascii="Calibri" w:eastAsia="Times New Roman" w:hAnsi="Calibri" w:cs="Calibri"/>
                <w:color w:val="000000"/>
              </w:rPr>
            </w:pPr>
            <w:r w:rsidRPr="002320E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2011.07.05</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9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0</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8</w:t>
            </w:r>
          </w:p>
        </w:tc>
        <w:tc>
          <w:tcPr>
            <w:tcW w:w="9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±8</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E72167" w:rsidRPr="002320EB" w:rsidRDefault="00E72167" w:rsidP="00E72167">
            <w:pPr>
              <w:spacing w:after="0"/>
              <w:rPr>
                <w:rFonts w:ascii="Calibri" w:eastAsia="Times New Roman" w:hAnsi="Calibri" w:cs="Calibri"/>
                <w:color w:val="000000"/>
              </w:rPr>
            </w:pPr>
            <w:r w:rsidRPr="002320E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2011.07.19</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17</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±8</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41</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±18</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E72167" w:rsidRPr="002320EB" w:rsidRDefault="00E72167" w:rsidP="00E72167">
            <w:pPr>
              <w:spacing w:after="0"/>
              <w:rPr>
                <w:rFonts w:ascii="Calibri" w:eastAsia="Times New Roman" w:hAnsi="Calibri" w:cs="Calibri"/>
                <w:color w:val="000000"/>
              </w:rPr>
            </w:pPr>
            <w:r w:rsidRPr="002320E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2011.08.02</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960" w:type="dxa"/>
            <w:tcBorders>
              <w:top w:val="nil"/>
              <w:left w:val="nil"/>
              <w:bottom w:val="single" w:sz="4" w:space="0" w:color="auto"/>
              <w:right w:val="single" w:sz="4" w:space="0" w:color="auto"/>
            </w:tcBorders>
            <w:shd w:val="clear" w:color="000000"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960" w:type="dxa"/>
            <w:tcBorders>
              <w:top w:val="nil"/>
              <w:left w:val="nil"/>
              <w:bottom w:val="single" w:sz="4" w:space="0" w:color="auto"/>
              <w:right w:val="single" w:sz="4" w:space="0" w:color="auto"/>
            </w:tcBorders>
            <w:shd w:val="clear" w:color="000000"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E72167" w:rsidRPr="002320EB" w:rsidRDefault="00E72167" w:rsidP="00E72167">
            <w:pPr>
              <w:spacing w:after="0"/>
              <w:rPr>
                <w:rFonts w:ascii="Calibri" w:eastAsia="Times New Roman" w:hAnsi="Calibri" w:cs="Calibri"/>
                <w:color w:val="000000"/>
              </w:rPr>
            </w:pPr>
            <w:r w:rsidRPr="002320E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color w:val="000000"/>
                <w:sz w:val="20"/>
                <w:szCs w:val="20"/>
              </w:rPr>
            </w:pPr>
            <w:r w:rsidRPr="002320EB">
              <w:rPr>
                <w:rFonts w:eastAsia="Times New Roman"/>
                <w:color w:val="000000"/>
                <w:sz w:val="20"/>
                <w:szCs w:val="20"/>
              </w:rPr>
              <w:t>2011.08.18</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7</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w:t>
            </w:r>
          </w:p>
        </w:tc>
        <w:tc>
          <w:tcPr>
            <w:tcW w:w="9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w:t>
            </w:r>
          </w:p>
        </w:tc>
      </w:tr>
      <w:tr w:rsidR="00E72167" w:rsidRPr="002320EB" w:rsidTr="00E72167">
        <w:trPr>
          <w:trHeight w:val="300"/>
        </w:trPr>
        <w:tc>
          <w:tcPr>
            <w:tcW w:w="1540" w:type="dxa"/>
            <w:tcBorders>
              <w:top w:val="nil"/>
              <w:left w:val="single" w:sz="4" w:space="0" w:color="auto"/>
              <w:bottom w:val="single" w:sz="4" w:space="0" w:color="auto"/>
              <w:right w:val="single" w:sz="4" w:space="0" w:color="auto"/>
            </w:tcBorders>
            <w:shd w:val="clear" w:color="000000" w:fill="C5D9F1"/>
            <w:noWrap/>
            <w:vAlign w:val="bottom"/>
            <w:hideMark/>
          </w:tcPr>
          <w:p w:rsidR="00E72167" w:rsidRPr="002320EB" w:rsidRDefault="00E72167" w:rsidP="00E72167">
            <w:pPr>
              <w:spacing w:after="0"/>
              <w:rPr>
                <w:rFonts w:ascii="Calibri" w:eastAsia="Times New Roman" w:hAnsi="Calibri" w:cs="Calibri"/>
                <w:color w:val="000000"/>
              </w:rPr>
            </w:pPr>
            <w:r w:rsidRPr="002320EB">
              <w:rPr>
                <w:rFonts w:ascii="Calibri" w:eastAsia="Times New Roman" w:hAnsi="Calibri" w:cs="Calibri"/>
                <w:color w:val="000000"/>
              </w:rPr>
              <w:t> </w:t>
            </w:r>
          </w:p>
        </w:tc>
        <w:tc>
          <w:tcPr>
            <w:tcW w:w="1060" w:type="dxa"/>
            <w:tcBorders>
              <w:top w:val="nil"/>
              <w:left w:val="nil"/>
              <w:bottom w:val="single" w:sz="4" w:space="0" w:color="auto"/>
              <w:right w:val="single" w:sz="4" w:space="0" w:color="auto"/>
            </w:tcBorders>
            <w:shd w:val="clear" w:color="B8CCE4"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2011.09.01</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2</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±3</w:t>
            </w:r>
          </w:p>
        </w:tc>
        <w:tc>
          <w:tcPr>
            <w:tcW w:w="1120" w:type="dxa"/>
            <w:tcBorders>
              <w:top w:val="nil"/>
              <w:left w:val="nil"/>
              <w:bottom w:val="single" w:sz="4" w:space="0" w:color="auto"/>
              <w:right w:val="single" w:sz="4" w:space="0" w:color="auto"/>
            </w:tcBorders>
            <w:shd w:val="clear" w:color="000000" w:fill="C5D9F1"/>
            <w:noWrap/>
            <w:vAlign w:val="bottom"/>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50</w:t>
            </w:r>
          </w:p>
        </w:tc>
        <w:tc>
          <w:tcPr>
            <w:tcW w:w="960" w:type="dxa"/>
            <w:tcBorders>
              <w:top w:val="nil"/>
              <w:left w:val="nil"/>
              <w:bottom w:val="single" w:sz="4" w:space="0" w:color="auto"/>
              <w:right w:val="single" w:sz="4" w:space="0" w:color="auto"/>
            </w:tcBorders>
            <w:shd w:val="clear" w:color="DCE6F1" w:fill="C5D9F1"/>
            <w:vAlign w:val="center"/>
            <w:hideMark/>
          </w:tcPr>
          <w:p w:rsidR="00E72167" w:rsidRPr="002320EB" w:rsidRDefault="00E72167" w:rsidP="00E72167">
            <w:pPr>
              <w:spacing w:after="0"/>
              <w:jc w:val="center"/>
              <w:rPr>
                <w:rFonts w:eastAsia="Times New Roman"/>
                <w:sz w:val="20"/>
                <w:szCs w:val="20"/>
              </w:rPr>
            </w:pPr>
            <w:r w:rsidRPr="002320EB">
              <w:rPr>
                <w:rFonts w:eastAsia="Times New Roman"/>
                <w:sz w:val="20"/>
                <w:szCs w:val="20"/>
              </w:rPr>
              <w:t>±60</w:t>
            </w:r>
          </w:p>
        </w:tc>
      </w:tr>
    </w:tbl>
    <w:p w:rsidR="00E72167" w:rsidRPr="00682E76" w:rsidRDefault="00E72167" w:rsidP="00C544DD">
      <w:pPr>
        <w:jc w:val="center"/>
        <w:rPr>
          <w:b/>
          <w:sz w:val="28"/>
          <w:szCs w:val="28"/>
          <w:lang w:val="lt-LT"/>
        </w:rPr>
      </w:pPr>
      <w:r w:rsidRPr="00682E76">
        <w:rPr>
          <w:b/>
          <w:sz w:val="28"/>
          <w:szCs w:val="28"/>
        </w:rPr>
        <w:lastRenderedPageBreak/>
        <w:t>Centralizuotai tiekiamo geriamojo vandens kokyb</w:t>
      </w:r>
      <w:r w:rsidRPr="00682E76">
        <w:rPr>
          <w:b/>
          <w:sz w:val="28"/>
          <w:szCs w:val="28"/>
          <w:lang w:val="lt-LT"/>
        </w:rPr>
        <w:t xml:space="preserve">ė Vilniaus </w:t>
      </w:r>
      <w:r>
        <w:rPr>
          <w:b/>
          <w:sz w:val="28"/>
          <w:szCs w:val="28"/>
          <w:lang w:val="lt-LT"/>
        </w:rPr>
        <w:t>rajone</w:t>
      </w:r>
      <w:r w:rsidRPr="00682E76">
        <w:rPr>
          <w:b/>
          <w:sz w:val="28"/>
          <w:szCs w:val="28"/>
          <w:lang w:val="lt-LT"/>
        </w:rPr>
        <w:t xml:space="preserve">  2010 m.</w:t>
      </w:r>
    </w:p>
    <w:p w:rsidR="00E72167" w:rsidRPr="00617A3B" w:rsidRDefault="00E72167" w:rsidP="00C544DD">
      <w:pPr>
        <w:ind w:firstLine="360"/>
        <w:jc w:val="both"/>
        <w:rPr>
          <w:szCs w:val="24"/>
        </w:rPr>
      </w:pPr>
      <w:r w:rsidRPr="00617A3B">
        <w:rPr>
          <w:szCs w:val="24"/>
        </w:rPr>
        <w:t xml:space="preserve">Nemenčinės vandenvietėje </w:t>
      </w:r>
      <w:r>
        <w:rPr>
          <w:szCs w:val="24"/>
        </w:rPr>
        <w:t xml:space="preserve">2010 m., </w:t>
      </w:r>
      <w:r w:rsidRPr="00617A3B">
        <w:rPr>
          <w:szCs w:val="24"/>
        </w:rPr>
        <w:t>vanduo atitiko higienos normą</w:t>
      </w:r>
      <w:r>
        <w:rPr>
          <w:szCs w:val="24"/>
        </w:rPr>
        <w:t xml:space="preserve"> </w:t>
      </w:r>
      <w:r w:rsidRPr="00682E76">
        <w:rPr>
          <w:szCs w:val="24"/>
        </w:rPr>
        <w:t>HN 24: 2003</w:t>
      </w:r>
      <w:r w:rsidRPr="00617A3B">
        <w:rPr>
          <w:szCs w:val="24"/>
        </w:rPr>
        <w:t>.</w:t>
      </w:r>
      <w:r>
        <w:rPr>
          <w:szCs w:val="24"/>
        </w:rPr>
        <w:t xml:space="preserve"> </w:t>
      </w:r>
    </w:p>
    <w:p w:rsidR="00E72167" w:rsidRPr="00682E76" w:rsidRDefault="00E72167" w:rsidP="00C544DD">
      <w:pPr>
        <w:autoSpaceDE w:val="0"/>
        <w:autoSpaceDN w:val="0"/>
        <w:adjustRightInd w:val="0"/>
        <w:ind w:firstLine="360"/>
        <w:jc w:val="both"/>
        <w:rPr>
          <w:szCs w:val="24"/>
        </w:rPr>
      </w:pPr>
      <w:r w:rsidRPr="00682E76">
        <w:rPr>
          <w:szCs w:val="24"/>
        </w:rPr>
        <w:t>Pagal Lietuvos higienos normą HN 24: 2003 “Geri</w:t>
      </w:r>
      <w:r>
        <w:rPr>
          <w:szCs w:val="24"/>
        </w:rPr>
        <w:t xml:space="preserve">amojo vandens saugos ir kokybės </w:t>
      </w:r>
      <w:r w:rsidRPr="00682E76">
        <w:rPr>
          <w:szCs w:val="24"/>
        </w:rPr>
        <w:t>reikalavimai” geriamasis vanduo yra saugus ir sveikas vartoti, kai:</w:t>
      </w:r>
    </w:p>
    <w:p w:rsidR="00E72167" w:rsidRDefault="00E72167" w:rsidP="00C544DD">
      <w:pPr>
        <w:pStyle w:val="ListParagraph"/>
        <w:numPr>
          <w:ilvl w:val="0"/>
          <w:numId w:val="1"/>
        </w:numPr>
        <w:autoSpaceDE w:val="0"/>
        <w:autoSpaceDN w:val="0"/>
        <w:adjustRightInd w:val="0"/>
        <w:jc w:val="both"/>
      </w:pPr>
      <w:r w:rsidRPr="00682E76">
        <w:t>jame nėra mikroorganizmų, parazitų ir medžiagų, savo skaičiais ar koncentracija</w:t>
      </w:r>
      <w:r w:rsidRPr="001C07C7">
        <w:t xml:space="preserve">            galinčių kelti didelį pavojų žmonių sveikatai;</w:t>
      </w:r>
    </w:p>
    <w:p w:rsidR="001C07C7" w:rsidRPr="001C07C7" w:rsidRDefault="001C07C7" w:rsidP="001C07C7">
      <w:pPr>
        <w:pStyle w:val="ListParagraph"/>
        <w:autoSpaceDE w:val="0"/>
        <w:autoSpaceDN w:val="0"/>
        <w:adjustRightInd w:val="0"/>
        <w:jc w:val="both"/>
      </w:pPr>
    </w:p>
    <w:p w:rsidR="00E72167" w:rsidRDefault="00E72167" w:rsidP="00C544DD">
      <w:pPr>
        <w:pStyle w:val="ListParagraph"/>
        <w:numPr>
          <w:ilvl w:val="0"/>
          <w:numId w:val="1"/>
        </w:numPr>
        <w:autoSpaceDE w:val="0"/>
        <w:autoSpaceDN w:val="0"/>
        <w:adjustRightInd w:val="0"/>
        <w:jc w:val="both"/>
      </w:pPr>
      <w:r w:rsidRPr="00682E76">
        <w:t>geriamasis vanduo atitinka šios higienos normos nustatytus minimalius mikrobinius ir toksinius (cheminius) rodiklius;</w:t>
      </w:r>
    </w:p>
    <w:p w:rsidR="00E72167" w:rsidRPr="00682E76" w:rsidRDefault="00E72167" w:rsidP="00C544DD">
      <w:pPr>
        <w:pStyle w:val="ListParagraph"/>
        <w:autoSpaceDE w:val="0"/>
        <w:autoSpaceDN w:val="0"/>
        <w:adjustRightInd w:val="0"/>
        <w:jc w:val="both"/>
      </w:pPr>
    </w:p>
    <w:p w:rsidR="00E72167" w:rsidRPr="00682E76" w:rsidRDefault="00E72167" w:rsidP="00C544DD">
      <w:pPr>
        <w:pStyle w:val="ListParagraph"/>
        <w:numPr>
          <w:ilvl w:val="0"/>
          <w:numId w:val="1"/>
        </w:numPr>
        <w:autoSpaceDE w:val="0"/>
        <w:autoSpaceDN w:val="0"/>
        <w:adjustRightInd w:val="0"/>
        <w:jc w:val="both"/>
      </w:pPr>
      <w:r w:rsidRPr="00682E76">
        <w:t>užtikrinama vandens išteklių ir tiekiamo geriamojo vandens apsauga nuo taršos, o vandens programinė priežiūra geriamojo vandens tiekėjų vykdoma taip, kad būtų galima įvertinti ir nustatyti, ar vanduo atitinka šioje higienos normoje nustatytus mikrobinius ir toksinius (cheminius) rodiklius geriamojo vandens vartojimo vietose.</w:t>
      </w:r>
    </w:p>
    <w:p w:rsidR="00E72167" w:rsidRDefault="00E72167" w:rsidP="00E72167"/>
    <w:p w:rsidR="00C544DD" w:rsidRDefault="00C544DD" w:rsidP="00E72167"/>
    <w:p w:rsidR="00C544DD" w:rsidRPr="00682E76" w:rsidRDefault="00E72167" w:rsidP="00C544DD">
      <w:pPr>
        <w:tabs>
          <w:tab w:val="left" w:pos="1995"/>
        </w:tabs>
        <w:jc w:val="center"/>
        <w:rPr>
          <w:b/>
          <w:sz w:val="28"/>
          <w:szCs w:val="28"/>
          <w:lang w:val="lt-LT"/>
        </w:rPr>
      </w:pPr>
      <w:r w:rsidRPr="00682E76">
        <w:rPr>
          <w:b/>
          <w:sz w:val="28"/>
          <w:szCs w:val="28"/>
          <w:lang w:val="lt-LT"/>
        </w:rPr>
        <w:t xml:space="preserve">Šulinių vandens kokybė Vilniaus </w:t>
      </w:r>
      <w:r>
        <w:rPr>
          <w:b/>
          <w:sz w:val="28"/>
          <w:szCs w:val="28"/>
          <w:lang w:val="lt-LT"/>
        </w:rPr>
        <w:t>r</w:t>
      </w:r>
      <w:r w:rsidRPr="00682E76">
        <w:rPr>
          <w:b/>
          <w:sz w:val="28"/>
          <w:szCs w:val="28"/>
          <w:lang w:val="lt-LT"/>
        </w:rPr>
        <w:t>. 2010 m.</w:t>
      </w:r>
    </w:p>
    <w:p w:rsidR="00E72167" w:rsidRPr="00682E76" w:rsidRDefault="000947BE" w:rsidP="000947BE">
      <w:pPr>
        <w:tabs>
          <w:tab w:val="left" w:pos="709"/>
        </w:tabs>
        <w:jc w:val="both"/>
        <w:rPr>
          <w:szCs w:val="24"/>
          <w:lang w:val="lt-LT"/>
        </w:rPr>
      </w:pPr>
      <w:r>
        <w:rPr>
          <w:szCs w:val="24"/>
          <w:lang w:val="lt-LT"/>
        </w:rPr>
        <w:tab/>
      </w:r>
      <w:r w:rsidR="00E72167" w:rsidRPr="00682E76">
        <w:rPr>
          <w:szCs w:val="24"/>
          <w:lang w:val="lt-LT"/>
        </w:rPr>
        <w:t xml:space="preserve">Vilniaus visuomenės sveikatos centras, vykdydamas Lietuvos Respublikos sveikatos apsaugos ministro </w:t>
      </w:r>
      <w:r w:rsidR="00E72167" w:rsidRPr="00682E76">
        <w:rPr>
          <w:szCs w:val="24"/>
        </w:rPr>
        <w:t>2002 m. gegu</w:t>
      </w:r>
      <w:r w:rsidR="00E72167" w:rsidRPr="00682E76">
        <w:rPr>
          <w:szCs w:val="24"/>
          <w:lang w:val="lt-LT"/>
        </w:rPr>
        <w:t xml:space="preserve">žės </w:t>
      </w:r>
      <w:r w:rsidR="00E72167" w:rsidRPr="00682E76">
        <w:rPr>
          <w:szCs w:val="24"/>
        </w:rPr>
        <w:t xml:space="preserve">30 d. </w:t>
      </w:r>
      <w:r w:rsidR="00E72167" w:rsidRPr="00682E76">
        <w:rPr>
          <w:szCs w:val="24"/>
          <w:lang w:val="lt-LT"/>
        </w:rPr>
        <w:t>įsakymą Nr.</w:t>
      </w:r>
      <w:r w:rsidR="00E72167" w:rsidRPr="00682E76">
        <w:rPr>
          <w:szCs w:val="24"/>
        </w:rPr>
        <w:t>250 “D</w:t>
      </w:r>
      <w:r w:rsidR="00E72167" w:rsidRPr="00682E76">
        <w:rPr>
          <w:szCs w:val="24"/>
          <w:lang w:val="lt-LT"/>
        </w:rPr>
        <w:t xml:space="preserve">ėl apsinuodijimų nitritais ir nitratais diagnostikos ir profilaktikos“ </w:t>
      </w:r>
      <w:r w:rsidR="00E72167" w:rsidRPr="00682E76">
        <w:rPr>
          <w:szCs w:val="24"/>
        </w:rPr>
        <w:t xml:space="preserve">2010 m. Vilniaus </w:t>
      </w:r>
      <w:r w:rsidR="00E72167">
        <w:rPr>
          <w:szCs w:val="24"/>
        </w:rPr>
        <w:t>r</w:t>
      </w:r>
      <w:r w:rsidR="00E72167" w:rsidRPr="00682E76">
        <w:rPr>
          <w:szCs w:val="24"/>
        </w:rPr>
        <w:t>.</w:t>
      </w:r>
      <w:r w:rsidR="00E72167" w:rsidRPr="00682E76">
        <w:rPr>
          <w:szCs w:val="24"/>
          <w:lang w:val="lt-LT"/>
        </w:rPr>
        <w:t xml:space="preserve"> ištyrė </w:t>
      </w:r>
      <w:r w:rsidR="00E72167">
        <w:rPr>
          <w:szCs w:val="24"/>
        </w:rPr>
        <w:t xml:space="preserve">48 </w:t>
      </w:r>
      <w:r w:rsidR="00E72167" w:rsidRPr="00682E76">
        <w:rPr>
          <w:szCs w:val="24"/>
          <w:lang w:val="lt-LT"/>
        </w:rPr>
        <w:t>šulinius, buvo paimt</w:t>
      </w:r>
      <w:r w:rsidR="00E72167">
        <w:rPr>
          <w:szCs w:val="24"/>
          <w:lang w:val="lt-LT"/>
        </w:rPr>
        <w:t xml:space="preserve">i </w:t>
      </w:r>
      <w:r w:rsidR="00E72167">
        <w:rPr>
          <w:szCs w:val="24"/>
        </w:rPr>
        <w:t>96</w:t>
      </w:r>
      <w:r w:rsidR="00E72167" w:rsidRPr="00682E76">
        <w:rPr>
          <w:szCs w:val="24"/>
        </w:rPr>
        <w:t xml:space="preserve"> m</w:t>
      </w:r>
      <w:r w:rsidR="00E72167" w:rsidRPr="00682E76">
        <w:rPr>
          <w:szCs w:val="24"/>
          <w:lang w:val="lt-LT"/>
        </w:rPr>
        <w:t xml:space="preserve">ėginiai. Nitratų skaičius viršijo normas </w:t>
      </w:r>
      <w:r w:rsidR="00E72167">
        <w:rPr>
          <w:szCs w:val="24"/>
        </w:rPr>
        <w:t>20</w:t>
      </w:r>
      <w:r w:rsidR="00E72167" w:rsidRPr="00682E76">
        <w:rPr>
          <w:szCs w:val="24"/>
        </w:rPr>
        <w:t xml:space="preserve"> m</w:t>
      </w:r>
      <w:r w:rsidR="00E72167" w:rsidRPr="00682E76">
        <w:rPr>
          <w:szCs w:val="24"/>
          <w:lang w:val="lt-LT"/>
        </w:rPr>
        <w:t>ėgini</w:t>
      </w:r>
      <w:r w:rsidR="00E72167">
        <w:rPr>
          <w:szCs w:val="24"/>
          <w:lang w:val="lt-LT"/>
        </w:rPr>
        <w:t xml:space="preserve">ų, amoniako </w:t>
      </w:r>
      <w:r w:rsidR="00E72167">
        <w:rPr>
          <w:szCs w:val="24"/>
        </w:rPr>
        <w:t>1 m</w:t>
      </w:r>
      <w:r w:rsidR="00E72167">
        <w:rPr>
          <w:szCs w:val="24"/>
          <w:lang w:val="lt-LT"/>
        </w:rPr>
        <w:t>ėginyje</w:t>
      </w:r>
      <w:r w:rsidR="00E72167" w:rsidRPr="00682E76">
        <w:rPr>
          <w:szCs w:val="24"/>
          <w:lang w:val="lt-LT"/>
        </w:rPr>
        <w:t xml:space="preserve">, E.coli ir enterokokai </w:t>
      </w:r>
      <w:r w:rsidR="00E72167">
        <w:rPr>
          <w:szCs w:val="24"/>
        </w:rPr>
        <w:t>15</w:t>
      </w:r>
      <w:r w:rsidR="00E72167" w:rsidRPr="00682E76">
        <w:rPr>
          <w:szCs w:val="24"/>
          <w:lang w:val="lt-LT"/>
        </w:rPr>
        <w:t xml:space="preserve"> mėgini</w:t>
      </w:r>
      <w:r w:rsidR="00E72167">
        <w:rPr>
          <w:szCs w:val="24"/>
          <w:lang w:val="lt-LT"/>
        </w:rPr>
        <w:t>ų</w:t>
      </w:r>
      <w:r w:rsidR="00E72167" w:rsidRPr="00682E76">
        <w:rPr>
          <w:szCs w:val="24"/>
          <w:lang w:val="lt-LT"/>
        </w:rPr>
        <w:t>.</w:t>
      </w:r>
    </w:p>
    <w:p w:rsidR="00E72167" w:rsidRPr="00682E76" w:rsidRDefault="000947BE" w:rsidP="000947BE">
      <w:pPr>
        <w:tabs>
          <w:tab w:val="left" w:pos="851"/>
        </w:tabs>
        <w:jc w:val="both"/>
        <w:rPr>
          <w:szCs w:val="24"/>
          <w:lang w:val="lt-LT"/>
        </w:rPr>
      </w:pPr>
      <w:r>
        <w:rPr>
          <w:szCs w:val="24"/>
          <w:lang w:val="lt-LT"/>
        </w:rPr>
        <w:tab/>
      </w:r>
      <w:r w:rsidR="00E72167">
        <w:rPr>
          <w:szCs w:val="24"/>
          <w:lang w:val="lt-LT"/>
        </w:rPr>
        <w:t>Valstybinės ma</w:t>
      </w:r>
      <w:r w:rsidR="00E72167" w:rsidRPr="00682E76">
        <w:rPr>
          <w:szCs w:val="24"/>
          <w:lang w:val="lt-LT"/>
        </w:rPr>
        <w:t>i</w:t>
      </w:r>
      <w:r w:rsidR="00E72167">
        <w:rPr>
          <w:szCs w:val="24"/>
          <w:lang w:val="lt-LT"/>
        </w:rPr>
        <w:t>s</w:t>
      </w:r>
      <w:r w:rsidR="00E72167" w:rsidRPr="00682E76">
        <w:rPr>
          <w:szCs w:val="24"/>
          <w:lang w:val="lt-LT"/>
        </w:rPr>
        <w:t>to ir vet</w:t>
      </w:r>
      <w:r w:rsidR="001C6002">
        <w:rPr>
          <w:szCs w:val="24"/>
          <w:lang w:val="lt-LT"/>
        </w:rPr>
        <w:t>erinarijos tarnybo</w:t>
      </w:r>
      <w:r w:rsidR="00E72167">
        <w:rPr>
          <w:szCs w:val="24"/>
          <w:lang w:val="lt-LT"/>
        </w:rPr>
        <w:t xml:space="preserve">s duomenimis: </w:t>
      </w:r>
      <w:r w:rsidR="00E72167" w:rsidRPr="00682E76">
        <w:rPr>
          <w:szCs w:val="24"/>
        </w:rPr>
        <w:t>žarninių lazdelių ir (ar) žarninių enterokokų skaičius viršijo</w:t>
      </w:r>
      <w:r w:rsidR="00E72167">
        <w:rPr>
          <w:szCs w:val="24"/>
        </w:rPr>
        <w:t xml:space="preserve"> ribinį mikroorganizmų skaičių 60</w:t>
      </w:r>
      <w:r w:rsidR="00E72167" w:rsidRPr="00682E76">
        <w:rPr>
          <w:szCs w:val="24"/>
        </w:rPr>
        <w:t xml:space="preserve"> % mėgini</w:t>
      </w:r>
      <w:r w:rsidR="00E72167">
        <w:rPr>
          <w:szCs w:val="24"/>
          <w:lang w:val="lt-LT"/>
        </w:rPr>
        <w:t>ų,</w:t>
      </w:r>
      <w:r>
        <w:rPr>
          <w:szCs w:val="24"/>
          <w:lang w:val="lt-LT"/>
        </w:rPr>
        <w:t xml:space="preserve"> </w:t>
      </w:r>
      <w:r w:rsidR="00E72167" w:rsidRPr="00682E76">
        <w:rPr>
          <w:szCs w:val="24"/>
          <w:lang w:val="lt-LT"/>
        </w:rPr>
        <w:t>cheminių medžiagų koncentracijos ribinės vertės</w:t>
      </w:r>
      <w:r w:rsidR="00E72167">
        <w:rPr>
          <w:szCs w:val="24"/>
          <w:lang w:val="lt-LT"/>
        </w:rPr>
        <w:t xml:space="preserve"> buvo viršytos </w:t>
      </w:r>
      <w:r w:rsidR="00E72167" w:rsidRPr="00682E76">
        <w:rPr>
          <w:szCs w:val="24"/>
        </w:rPr>
        <w:t>4</w:t>
      </w:r>
      <w:r w:rsidR="00E72167">
        <w:rPr>
          <w:szCs w:val="24"/>
        </w:rPr>
        <w:t xml:space="preserve">0 </w:t>
      </w:r>
      <w:r w:rsidR="00E72167" w:rsidRPr="00682E76">
        <w:rPr>
          <w:szCs w:val="24"/>
        </w:rPr>
        <w:t>%</w:t>
      </w:r>
      <w:r w:rsidR="00E72167">
        <w:rPr>
          <w:szCs w:val="24"/>
        </w:rPr>
        <w:t xml:space="preserve"> mėginių</w:t>
      </w:r>
      <w:r w:rsidR="00E72167" w:rsidRPr="00682E76">
        <w:rPr>
          <w:szCs w:val="24"/>
          <w:lang w:val="lt-LT"/>
        </w:rPr>
        <w:t>.</w:t>
      </w:r>
    </w:p>
    <w:p w:rsidR="00E72167" w:rsidRPr="00682E76" w:rsidRDefault="000947BE" w:rsidP="000947BE">
      <w:pPr>
        <w:tabs>
          <w:tab w:val="left" w:pos="851"/>
        </w:tabs>
        <w:jc w:val="both"/>
        <w:rPr>
          <w:szCs w:val="24"/>
        </w:rPr>
      </w:pPr>
      <w:r>
        <w:rPr>
          <w:szCs w:val="24"/>
          <w:lang w:val="lt-LT"/>
        </w:rPr>
        <w:tab/>
      </w:r>
      <w:r w:rsidR="00E72167" w:rsidRPr="00682E76">
        <w:rPr>
          <w:szCs w:val="24"/>
          <w:lang w:val="lt-LT"/>
        </w:rPr>
        <w:t xml:space="preserve">Mikrobiologinę taršą (E.coli, eneterokokai) galima pašalinti virinant vandenį. Nitratų skaičius verdant vandenį nesumažėja. Todėl ypač nėščioms moterims ir kūdikiams iki </w:t>
      </w:r>
      <w:r w:rsidR="00E72167" w:rsidRPr="00682E76">
        <w:rPr>
          <w:szCs w:val="24"/>
        </w:rPr>
        <w:t>6 mėn.</w:t>
      </w:r>
      <w:r>
        <w:rPr>
          <w:szCs w:val="24"/>
        </w:rPr>
        <w:t xml:space="preserve"> </w:t>
      </w:r>
      <w:r w:rsidR="00E72167" w:rsidRPr="00682E76">
        <w:rPr>
          <w:szCs w:val="24"/>
          <w:lang w:val="lt-LT"/>
        </w:rPr>
        <w:t xml:space="preserve">nerekomenduojama vartoti nitritais ir nitratais užteršto vandens.  Žmogaus organizme nitratai redukuojasi iki nitritų, ir sukelia methemoglobinemiją, kuri pasireiškia: pykinimu, mėlynavimu, traukuliais, uždusimu. Jautriausi yra dirbtinai maitinami kūdikiai. Šulinių vandenį naudojantys piliečiai, vandenį turėtų išsitirti sava iniciatyva. </w:t>
      </w:r>
    </w:p>
    <w:p w:rsidR="002750B8" w:rsidRPr="00E40D1D" w:rsidRDefault="002750B8" w:rsidP="00E40D1D">
      <w:pPr>
        <w:jc w:val="center"/>
        <w:rPr>
          <w:sz w:val="56"/>
          <w:szCs w:val="32"/>
        </w:rPr>
      </w:pPr>
    </w:p>
    <w:p w:rsidR="002750B8" w:rsidRPr="00E40D1D" w:rsidRDefault="002750B8" w:rsidP="00E40D1D">
      <w:pPr>
        <w:jc w:val="center"/>
        <w:rPr>
          <w:sz w:val="56"/>
          <w:szCs w:val="32"/>
        </w:rPr>
      </w:pPr>
    </w:p>
    <w:p w:rsidR="002750B8" w:rsidRPr="00E40D1D" w:rsidRDefault="002750B8" w:rsidP="00E40D1D">
      <w:pPr>
        <w:jc w:val="center"/>
        <w:rPr>
          <w:sz w:val="56"/>
          <w:szCs w:val="32"/>
        </w:rPr>
      </w:pPr>
    </w:p>
    <w:p w:rsidR="003F5425" w:rsidRPr="00E40D1D" w:rsidRDefault="003F5425" w:rsidP="00E40D1D">
      <w:pPr>
        <w:jc w:val="center"/>
        <w:rPr>
          <w:sz w:val="56"/>
          <w:szCs w:val="32"/>
        </w:rPr>
      </w:pPr>
    </w:p>
    <w:p w:rsidR="00E72167" w:rsidRDefault="00E72167" w:rsidP="00E40D1D">
      <w:pPr>
        <w:jc w:val="center"/>
        <w:rPr>
          <w:sz w:val="56"/>
          <w:szCs w:val="32"/>
        </w:rPr>
      </w:pPr>
    </w:p>
    <w:p w:rsidR="00E72167" w:rsidRDefault="00E72167" w:rsidP="00E40D1D">
      <w:pPr>
        <w:jc w:val="center"/>
        <w:rPr>
          <w:sz w:val="56"/>
          <w:szCs w:val="32"/>
        </w:rPr>
      </w:pPr>
    </w:p>
    <w:p w:rsidR="00E72167" w:rsidRDefault="00E72167" w:rsidP="00E40D1D">
      <w:pPr>
        <w:jc w:val="center"/>
        <w:rPr>
          <w:sz w:val="56"/>
          <w:szCs w:val="32"/>
        </w:rPr>
      </w:pPr>
    </w:p>
    <w:p w:rsidR="00E72167" w:rsidRDefault="00E72167" w:rsidP="00E40D1D">
      <w:pPr>
        <w:jc w:val="center"/>
        <w:rPr>
          <w:sz w:val="56"/>
          <w:szCs w:val="32"/>
        </w:rPr>
      </w:pPr>
    </w:p>
    <w:p w:rsidR="00C544DD" w:rsidRDefault="00C544DD" w:rsidP="00E40D1D">
      <w:pPr>
        <w:jc w:val="center"/>
        <w:rPr>
          <w:sz w:val="56"/>
          <w:szCs w:val="32"/>
        </w:rPr>
      </w:pPr>
    </w:p>
    <w:p w:rsidR="00C544DD" w:rsidRDefault="00C544DD" w:rsidP="00E40D1D">
      <w:pPr>
        <w:jc w:val="center"/>
        <w:rPr>
          <w:sz w:val="56"/>
          <w:szCs w:val="32"/>
        </w:rPr>
      </w:pPr>
    </w:p>
    <w:p w:rsidR="002750B8" w:rsidRPr="00E40D1D" w:rsidRDefault="002750B8" w:rsidP="00E40D1D">
      <w:pPr>
        <w:jc w:val="center"/>
        <w:rPr>
          <w:sz w:val="56"/>
          <w:szCs w:val="32"/>
        </w:rPr>
      </w:pPr>
      <w:r w:rsidRPr="00E40D1D">
        <w:rPr>
          <w:sz w:val="56"/>
          <w:szCs w:val="32"/>
        </w:rPr>
        <w:t>SVEIKATOS PRIEŽIŪROS</w:t>
      </w:r>
    </w:p>
    <w:p w:rsidR="003F5425" w:rsidRPr="00E40D1D" w:rsidRDefault="002750B8" w:rsidP="00E40D1D">
      <w:pPr>
        <w:jc w:val="center"/>
        <w:rPr>
          <w:sz w:val="56"/>
          <w:szCs w:val="32"/>
        </w:rPr>
      </w:pPr>
      <w:r w:rsidRPr="00E40D1D">
        <w:rPr>
          <w:sz w:val="56"/>
          <w:szCs w:val="32"/>
        </w:rPr>
        <w:t>SISTEMOS RAIDA</w:t>
      </w:r>
    </w:p>
    <w:p w:rsidR="003F5425" w:rsidRPr="00E40D1D" w:rsidRDefault="003F5425" w:rsidP="00E40D1D">
      <w:pPr>
        <w:rPr>
          <w:sz w:val="40"/>
          <w:szCs w:val="40"/>
        </w:rPr>
      </w:pPr>
    </w:p>
    <w:p w:rsidR="00144E52" w:rsidRPr="00E40D1D" w:rsidRDefault="00144E52" w:rsidP="00E40D1D">
      <w:pPr>
        <w:rPr>
          <w:sz w:val="40"/>
          <w:szCs w:val="40"/>
        </w:rPr>
      </w:pPr>
    </w:p>
    <w:p w:rsidR="00144E52" w:rsidRPr="00E40D1D" w:rsidRDefault="00144E52" w:rsidP="00E40D1D">
      <w:pPr>
        <w:rPr>
          <w:sz w:val="40"/>
          <w:szCs w:val="40"/>
        </w:rPr>
      </w:pPr>
    </w:p>
    <w:p w:rsidR="00144E52" w:rsidRPr="00E40D1D" w:rsidRDefault="00144E52" w:rsidP="00E40D1D">
      <w:pPr>
        <w:rPr>
          <w:sz w:val="40"/>
          <w:szCs w:val="40"/>
        </w:rPr>
      </w:pPr>
    </w:p>
    <w:p w:rsidR="00144E52" w:rsidRPr="00E40D1D" w:rsidRDefault="00144E52" w:rsidP="00E40D1D">
      <w:pPr>
        <w:rPr>
          <w:sz w:val="40"/>
          <w:szCs w:val="40"/>
        </w:rPr>
      </w:pPr>
    </w:p>
    <w:p w:rsidR="00144E52" w:rsidRPr="00E40D1D" w:rsidRDefault="00144E52" w:rsidP="00E40D1D">
      <w:pPr>
        <w:rPr>
          <w:sz w:val="40"/>
          <w:szCs w:val="40"/>
        </w:rPr>
      </w:pPr>
    </w:p>
    <w:p w:rsidR="00144E52" w:rsidRPr="00E40D1D" w:rsidRDefault="00144E52" w:rsidP="00E40D1D">
      <w:pPr>
        <w:rPr>
          <w:sz w:val="40"/>
          <w:szCs w:val="40"/>
        </w:rPr>
      </w:pPr>
    </w:p>
    <w:p w:rsidR="00144E52" w:rsidRPr="00E40D1D" w:rsidRDefault="00144E52" w:rsidP="00E40D1D">
      <w:pPr>
        <w:rPr>
          <w:sz w:val="40"/>
          <w:szCs w:val="40"/>
        </w:rPr>
      </w:pPr>
    </w:p>
    <w:p w:rsidR="00E72167" w:rsidRDefault="00E72167" w:rsidP="00E40D1D">
      <w:pPr>
        <w:jc w:val="center"/>
        <w:rPr>
          <w:sz w:val="32"/>
          <w:szCs w:val="32"/>
        </w:rPr>
      </w:pPr>
    </w:p>
    <w:p w:rsidR="001C6002" w:rsidRDefault="001C6002" w:rsidP="00E72167">
      <w:pPr>
        <w:ind w:firstLine="720"/>
        <w:rPr>
          <w:b/>
          <w:sz w:val="32"/>
          <w:szCs w:val="32"/>
        </w:rPr>
      </w:pPr>
    </w:p>
    <w:p w:rsidR="00E72167" w:rsidRDefault="00E72167" w:rsidP="00C544DD">
      <w:pPr>
        <w:ind w:firstLine="720"/>
        <w:rPr>
          <w:b/>
          <w:sz w:val="32"/>
          <w:szCs w:val="32"/>
        </w:rPr>
      </w:pPr>
      <w:r w:rsidRPr="00E72167">
        <w:rPr>
          <w:b/>
          <w:sz w:val="32"/>
          <w:szCs w:val="32"/>
        </w:rPr>
        <w:lastRenderedPageBreak/>
        <w:t>Vilniaus rajono sveikatos priežiūros sistemos raida 2010 m.</w:t>
      </w:r>
    </w:p>
    <w:p w:rsidR="00C544DD" w:rsidRPr="00C544DD" w:rsidRDefault="00C544DD" w:rsidP="00C544DD">
      <w:pPr>
        <w:ind w:firstLine="720"/>
        <w:rPr>
          <w:b/>
          <w:szCs w:val="24"/>
        </w:rPr>
      </w:pPr>
    </w:p>
    <w:p w:rsidR="00E72167" w:rsidRPr="000947BE" w:rsidRDefault="00E72167" w:rsidP="00E72167">
      <w:pPr>
        <w:ind w:firstLine="1296"/>
        <w:jc w:val="both"/>
      </w:pPr>
      <w:r>
        <w:rPr>
          <w:b/>
          <w:bCs/>
        </w:rPr>
        <w:t>Sveikatos sistema</w:t>
      </w:r>
      <w:r>
        <w:t xml:space="preserve"> - </w:t>
      </w:r>
      <w:r w:rsidRPr="000947BE">
        <w:t xml:space="preserve">valstybės </w:t>
      </w:r>
      <w:hyperlink r:id="rId48" w:tooltip="Sveikata" w:history="1">
        <w:r w:rsidRPr="000947BE">
          <w:rPr>
            <w:rStyle w:val="Hyperlink"/>
            <w:color w:val="auto"/>
            <w:u w:val="none"/>
          </w:rPr>
          <w:t>sveikatos</w:t>
        </w:r>
      </w:hyperlink>
      <w:r w:rsidRPr="000947BE">
        <w:t xml:space="preserve"> reikalų, institucijų, </w:t>
      </w:r>
      <w:hyperlink r:id="rId49" w:tooltip="Sveikatinimas (puslapis neegzistuoja)" w:history="1">
        <w:r w:rsidRPr="000947BE">
          <w:rPr>
            <w:rStyle w:val="Hyperlink"/>
            <w:color w:val="auto"/>
            <w:u w:val="none"/>
          </w:rPr>
          <w:t>sveikatinimo</w:t>
        </w:r>
      </w:hyperlink>
      <w:r w:rsidRPr="000947BE">
        <w:t xml:space="preserve"> veiklos bei jos išteklių tvarkymo </w:t>
      </w:r>
      <w:hyperlink r:id="rId50" w:tooltip="Sistema" w:history="1">
        <w:r w:rsidRPr="000947BE">
          <w:rPr>
            <w:rStyle w:val="Hyperlink"/>
            <w:color w:val="auto"/>
            <w:u w:val="none"/>
          </w:rPr>
          <w:t>sistema</w:t>
        </w:r>
      </w:hyperlink>
      <w:r w:rsidRPr="000947BE">
        <w:t>.</w:t>
      </w:r>
    </w:p>
    <w:p w:rsidR="00E72167" w:rsidRDefault="00E72167" w:rsidP="00E72167">
      <w:pPr>
        <w:ind w:firstLine="1296"/>
        <w:jc w:val="both"/>
      </w:pPr>
      <w:r>
        <w:t>Gyventojų sveikatos rodikliai dažnai atspindi esamą sveikatos sistemą rajone. Sveikatos statistika remiasi asmens sveikatos priežiūros įstaigų veiklos rodikliais. Gyventojų sergamumo pokyčius kartais lemia ne tiek gyventojų sveikatos pokyčiai, kiek geresnės diagnostinės bazės galimybės, specialisto buvimas ar nebuvimas įstaigoje, vykdomos ankstyvojo ligų išaiškinimo programos. Todėl greta sergamumo reiktų vertinti ir mirtingumo bei ligų paplitimo rodiklius. Vilniaus rajonas greta Vilniaus miesto, kuriame yra didelė įstaigų ir specialistų koncentracija. Vilniaus rajono gyventojai sveikatos priežiūros ambulatorines paslaugas gali gauti pagal gyvenamąją vietą ar pasirinkę Vilniaus miesto PASPĮ, stacionarines specializuotas Vilniaus miesto ligoninėse, nes Vilniaus rajonas neturi savo rajoninės ligoninės (išskyrus slaugos). Tiek eilę metų vykdomos sveikatos sistemos reformos, tiek įstaigų finansinis motyvavimas teikti daugiau ar mažiau paslaugų atsispindi įstaigų veikloje.</w:t>
      </w:r>
    </w:p>
    <w:p w:rsidR="00E72167" w:rsidRDefault="00E72167" w:rsidP="00E72167">
      <w:pPr>
        <w:ind w:firstLine="1296"/>
        <w:jc w:val="both"/>
      </w:pPr>
    </w:p>
    <w:p w:rsidR="00E72167" w:rsidRDefault="00E72167" w:rsidP="00E72167">
      <w:pPr>
        <w:ind w:firstLine="1296"/>
        <w:jc w:val="both"/>
        <w:rPr>
          <w:b/>
        </w:rPr>
      </w:pPr>
      <w:r w:rsidRPr="00B1298C">
        <w:rPr>
          <w:b/>
        </w:rPr>
        <w:t>Gydytojų skaičius</w:t>
      </w:r>
    </w:p>
    <w:p w:rsidR="00E72167" w:rsidRPr="0062185C" w:rsidRDefault="00E72167" w:rsidP="00E72167">
      <w:pPr>
        <w:jc w:val="both"/>
        <w:rPr>
          <w:b/>
        </w:rPr>
      </w:pPr>
      <w:r>
        <w:rPr>
          <w:b/>
          <w:lang w:val="lt-LT" w:eastAsia="lt-LT"/>
        </w:rPr>
        <w:drawing>
          <wp:inline distT="0" distB="0" distL="0" distR="0">
            <wp:extent cx="6057803" cy="2747896"/>
            <wp:effectExtent l="19050" t="0" r="19147" b="0"/>
            <wp:docPr id="15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E72167" w:rsidRDefault="00E72167" w:rsidP="00E72167">
      <w:pPr>
        <w:jc w:val="both"/>
        <w:rPr>
          <w:b/>
        </w:rPr>
      </w:pPr>
      <w:r>
        <w:rPr>
          <w:b/>
        </w:rPr>
        <w:t>1 pav. Gydytojų skaičius 1000 – iui gyventojų 2001 – 2010 m.</w:t>
      </w:r>
    </w:p>
    <w:p w:rsidR="00E72167" w:rsidRPr="00EC21E3" w:rsidRDefault="00E72167" w:rsidP="00E72167">
      <w:pPr>
        <w:jc w:val="both"/>
        <w:rPr>
          <w:b/>
        </w:rPr>
      </w:pPr>
    </w:p>
    <w:p w:rsidR="00E72167" w:rsidRPr="00183D4B" w:rsidRDefault="00E72167" w:rsidP="00E72167">
      <w:pPr>
        <w:jc w:val="both"/>
      </w:pPr>
      <w:r>
        <w:rPr>
          <w:b/>
        </w:rPr>
        <w:tab/>
      </w:r>
      <w:r w:rsidRPr="00183D4B">
        <w:t xml:space="preserve">Vilniaus </w:t>
      </w:r>
      <w:r>
        <w:t>rajone gydytojų skaičius tolygiai mažėjo iki 2009 m., 2010 m. šiek tiek paaugo. Rajoninės ligoninės nebuvimas gali lemti mažiausią gydytojų skaičius tarp lyginamų rajonų ir Lietuvos rodiklio.</w:t>
      </w:r>
    </w:p>
    <w:p w:rsidR="00E72167" w:rsidRDefault="00E72167" w:rsidP="00E72167">
      <w:pPr>
        <w:ind w:firstLine="1296"/>
        <w:jc w:val="both"/>
        <w:rPr>
          <w:b/>
        </w:rPr>
      </w:pPr>
    </w:p>
    <w:p w:rsidR="000947BE" w:rsidRDefault="000947BE" w:rsidP="00E72167">
      <w:pPr>
        <w:ind w:firstLine="1296"/>
        <w:jc w:val="both"/>
        <w:rPr>
          <w:b/>
        </w:rPr>
      </w:pPr>
    </w:p>
    <w:p w:rsidR="00E72167" w:rsidRDefault="00E72167" w:rsidP="00E72167">
      <w:pPr>
        <w:ind w:firstLine="1296"/>
        <w:jc w:val="both"/>
        <w:rPr>
          <w:b/>
        </w:rPr>
      </w:pPr>
      <w:r>
        <w:rPr>
          <w:b/>
        </w:rPr>
        <w:lastRenderedPageBreak/>
        <w:t>Šeimos gydytojų skaičius</w:t>
      </w:r>
    </w:p>
    <w:p w:rsidR="00E72167" w:rsidRPr="003A50A3" w:rsidRDefault="00E72167" w:rsidP="00E72167">
      <w:pPr>
        <w:jc w:val="both"/>
        <w:rPr>
          <w:b/>
        </w:rPr>
      </w:pPr>
      <w:r>
        <w:rPr>
          <w:b/>
          <w:lang w:val="lt-LT" w:eastAsia="lt-LT"/>
        </w:rPr>
        <w:drawing>
          <wp:inline distT="0" distB="0" distL="0" distR="0">
            <wp:extent cx="6036299" cy="2747896"/>
            <wp:effectExtent l="19050" t="0" r="21601" b="0"/>
            <wp:docPr id="155"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E72167" w:rsidRPr="00F40403" w:rsidRDefault="00E72167" w:rsidP="00E72167">
      <w:pPr>
        <w:jc w:val="both"/>
        <w:rPr>
          <w:b/>
        </w:rPr>
      </w:pPr>
      <w:r w:rsidRPr="00F40403">
        <w:rPr>
          <w:b/>
        </w:rPr>
        <w:t>2pav. Šeimos gydytojų skaičius 10 000 gyventojų 2001 – 2010 m.</w:t>
      </w:r>
    </w:p>
    <w:p w:rsidR="00E72167" w:rsidRPr="000C7FF8" w:rsidRDefault="00E72167" w:rsidP="00E72167">
      <w:pPr>
        <w:jc w:val="both"/>
      </w:pPr>
    </w:p>
    <w:p w:rsidR="00E72167" w:rsidRPr="00EC21E3" w:rsidRDefault="00E72167" w:rsidP="00E72167">
      <w:pPr>
        <w:ind w:firstLine="1296"/>
        <w:jc w:val="both"/>
      </w:pPr>
      <w:r>
        <w:t>Vilniaus rajone š</w:t>
      </w:r>
      <w:r w:rsidRPr="00EC21E3">
        <w:t>eimos gydytojų skaičius</w:t>
      </w:r>
      <w:r>
        <w:t xml:space="preserve"> eilę metų didesnis nei lyginamųjų rajonų ir artimas Lietuvos rodikliui.</w:t>
      </w:r>
    </w:p>
    <w:p w:rsidR="00E72167" w:rsidRDefault="00E72167" w:rsidP="00E72167">
      <w:pPr>
        <w:ind w:firstLine="1296"/>
        <w:jc w:val="both"/>
        <w:rPr>
          <w:b/>
        </w:rPr>
      </w:pPr>
    </w:p>
    <w:p w:rsidR="00E72167" w:rsidRDefault="00E72167" w:rsidP="00E72167">
      <w:pPr>
        <w:ind w:firstLine="1296"/>
        <w:jc w:val="both"/>
        <w:rPr>
          <w:b/>
        </w:rPr>
      </w:pPr>
      <w:r>
        <w:rPr>
          <w:b/>
        </w:rPr>
        <w:t>Odontologų skaičius</w:t>
      </w:r>
    </w:p>
    <w:p w:rsidR="00E72167" w:rsidRDefault="00E72167" w:rsidP="00E72167">
      <w:pPr>
        <w:jc w:val="both"/>
        <w:rPr>
          <w:b/>
        </w:rPr>
      </w:pPr>
      <w:r>
        <w:rPr>
          <w:b/>
          <w:lang w:val="lt-LT" w:eastAsia="lt-LT"/>
        </w:rPr>
        <w:drawing>
          <wp:inline distT="0" distB="0" distL="0" distR="0">
            <wp:extent cx="6078674" cy="2747896"/>
            <wp:effectExtent l="19050" t="0" r="17326" b="0"/>
            <wp:docPr id="154"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E72167" w:rsidRDefault="00E72167" w:rsidP="00E72167">
      <w:pPr>
        <w:jc w:val="both"/>
        <w:rPr>
          <w:b/>
        </w:rPr>
      </w:pPr>
      <w:r>
        <w:rPr>
          <w:b/>
        </w:rPr>
        <w:t>3 pav. Odontologų skaičius 10 000 gyventojų 2001 – 2010 m.</w:t>
      </w:r>
    </w:p>
    <w:p w:rsidR="00E72167" w:rsidRPr="000C7FF8" w:rsidRDefault="00E72167" w:rsidP="00E72167">
      <w:pPr>
        <w:jc w:val="both"/>
        <w:rPr>
          <w:b/>
        </w:rPr>
      </w:pPr>
    </w:p>
    <w:p w:rsidR="00E72167" w:rsidRDefault="00E72167" w:rsidP="00E72167">
      <w:pPr>
        <w:ind w:firstLine="1296"/>
        <w:jc w:val="both"/>
      </w:pPr>
      <w:r>
        <w:lastRenderedPageBreak/>
        <w:t xml:space="preserve">Odontologų skaičius 10 000 gyventojų Vilniaus rajone mažesnis nei Lietuvos rodiklis Gydytojai odontologai dirba tiek valstybinėse pirminėse asmens sveikatos priežiūros įstaigose, tiek privačiose. Vis dar nepakankamas dėmesys burnos higienai ir profilaktikai bei ugdymui bei mokamos sunkiau prieinamos paslaugos lemia gyventojų dantų prastą būklę. </w:t>
      </w:r>
    </w:p>
    <w:p w:rsidR="00E72167" w:rsidRPr="006175D8" w:rsidRDefault="00E72167" w:rsidP="00E72167">
      <w:pPr>
        <w:ind w:firstLine="1296"/>
        <w:jc w:val="both"/>
      </w:pPr>
    </w:p>
    <w:p w:rsidR="00E72167" w:rsidRDefault="00E72167" w:rsidP="00E72167">
      <w:pPr>
        <w:ind w:firstLine="1296"/>
        <w:jc w:val="both"/>
        <w:rPr>
          <w:b/>
        </w:rPr>
      </w:pPr>
      <w:r>
        <w:rPr>
          <w:b/>
        </w:rPr>
        <w:t>Slaugytojų skaičius</w:t>
      </w:r>
    </w:p>
    <w:p w:rsidR="00E72167" w:rsidRPr="006F6A8E" w:rsidRDefault="00E72167" w:rsidP="00E72167">
      <w:pPr>
        <w:jc w:val="both"/>
        <w:rPr>
          <w:b/>
        </w:rPr>
      </w:pPr>
      <w:r>
        <w:rPr>
          <w:b/>
          <w:lang w:val="lt-LT" w:eastAsia="lt-LT"/>
        </w:rPr>
        <w:drawing>
          <wp:inline distT="0" distB="0" distL="0" distR="0">
            <wp:extent cx="5973052" cy="2747896"/>
            <wp:effectExtent l="19050" t="0" r="27698" b="0"/>
            <wp:docPr id="153"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E72167" w:rsidRPr="00CE650E" w:rsidRDefault="00E72167" w:rsidP="00E72167">
      <w:pPr>
        <w:jc w:val="both"/>
        <w:rPr>
          <w:b/>
        </w:rPr>
      </w:pPr>
      <w:r>
        <w:rPr>
          <w:b/>
        </w:rPr>
        <w:t>4 pav. Slaugytojų (įskaitant akušerius) skaičius 10 000 gyventojų 2001 – 2010 m.</w:t>
      </w:r>
    </w:p>
    <w:p w:rsidR="00E72167" w:rsidRPr="000947BE" w:rsidRDefault="00E72167" w:rsidP="000947BE">
      <w:pPr>
        <w:ind w:firstLine="1296"/>
        <w:jc w:val="both"/>
      </w:pPr>
      <w:r>
        <w:t xml:space="preserve">Slaugytojų skaičius Vilniaus rajone yra mažiausias ir turi tendenciją mažėti. </w:t>
      </w:r>
    </w:p>
    <w:p w:rsidR="00E72167" w:rsidRDefault="00E72167" w:rsidP="00E72167">
      <w:pPr>
        <w:ind w:firstLine="1296"/>
        <w:jc w:val="both"/>
        <w:rPr>
          <w:b/>
        </w:rPr>
      </w:pPr>
      <w:r>
        <w:rPr>
          <w:b/>
        </w:rPr>
        <w:t>Hospitalizuotų asmenų skaičius</w:t>
      </w:r>
    </w:p>
    <w:p w:rsidR="00E72167" w:rsidRDefault="00E72167" w:rsidP="00E72167">
      <w:pPr>
        <w:jc w:val="both"/>
        <w:rPr>
          <w:b/>
        </w:rPr>
      </w:pPr>
      <w:r>
        <w:rPr>
          <w:b/>
          <w:lang w:val="lt-LT" w:eastAsia="lt-LT"/>
        </w:rPr>
        <w:drawing>
          <wp:inline distT="0" distB="0" distL="0" distR="0">
            <wp:extent cx="6078674" cy="2747896"/>
            <wp:effectExtent l="19050" t="0" r="17326" b="0"/>
            <wp:docPr id="152"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E72167" w:rsidRDefault="00E72167" w:rsidP="00E72167">
      <w:pPr>
        <w:jc w:val="both"/>
        <w:rPr>
          <w:b/>
        </w:rPr>
      </w:pPr>
      <w:r>
        <w:rPr>
          <w:b/>
        </w:rPr>
        <w:t>5 pav. Hospitalinis sergamumas 1000 gyventojų 2001 – 2010 m.</w:t>
      </w:r>
    </w:p>
    <w:p w:rsidR="00E72167" w:rsidRPr="002818F3" w:rsidRDefault="00E72167" w:rsidP="00E72167">
      <w:pPr>
        <w:jc w:val="both"/>
        <w:rPr>
          <w:b/>
        </w:rPr>
      </w:pPr>
    </w:p>
    <w:p w:rsidR="00E72167" w:rsidRPr="000947BE" w:rsidRDefault="00E72167" w:rsidP="000947BE">
      <w:pPr>
        <w:jc w:val="both"/>
      </w:pPr>
      <w:r>
        <w:tab/>
        <w:t>Hospitalinis sergamumas turi nežymią tendenciją augti Vilniaus rajone.</w:t>
      </w:r>
    </w:p>
    <w:p w:rsidR="00E72167" w:rsidRDefault="00E72167" w:rsidP="00E72167">
      <w:pPr>
        <w:ind w:firstLine="1296"/>
        <w:jc w:val="both"/>
        <w:rPr>
          <w:b/>
        </w:rPr>
      </w:pPr>
      <w:r>
        <w:rPr>
          <w:b/>
        </w:rPr>
        <w:t>Apsilankymų pas gydytojus skaičius</w:t>
      </w:r>
    </w:p>
    <w:p w:rsidR="00E72167" w:rsidRDefault="00E72167" w:rsidP="00E72167">
      <w:pPr>
        <w:jc w:val="both"/>
        <w:rPr>
          <w:b/>
        </w:rPr>
      </w:pPr>
      <w:r>
        <w:rPr>
          <w:b/>
          <w:lang w:val="lt-LT" w:eastAsia="lt-LT"/>
        </w:rPr>
        <w:drawing>
          <wp:inline distT="0" distB="0" distL="0" distR="0">
            <wp:extent cx="6057803" cy="2747896"/>
            <wp:effectExtent l="19050" t="0" r="19147" b="0"/>
            <wp:docPr id="151"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E72167" w:rsidRDefault="00E72167" w:rsidP="00E72167">
      <w:pPr>
        <w:jc w:val="both"/>
        <w:rPr>
          <w:b/>
        </w:rPr>
      </w:pPr>
      <w:r>
        <w:rPr>
          <w:b/>
        </w:rPr>
        <w:t>6 pav. Apsilankymai pas gydytojus 100 gyventojų 2001 – 2010 m.</w:t>
      </w:r>
    </w:p>
    <w:p w:rsidR="00E72167" w:rsidRPr="002818F3" w:rsidRDefault="00E72167" w:rsidP="00E72167">
      <w:pPr>
        <w:jc w:val="both"/>
        <w:rPr>
          <w:b/>
        </w:rPr>
      </w:pPr>
    </w:p>
    <w:p w:rsidR="00E72167" w:rsidRDefault="00E72167" w:rsidP="00E72167">
      <w:pPr>
        <w:ind w:firstLine="1296"/>
        <w:jc w:val="both"/>
      </w:pPr>
      <w:r>
        <w:t xml:space="preserve">Apsilankymų pas gydytojus skaičius per pastaruosius metus Vilniaus rajone tolygiai augo, o nuo 2009 m. mažėja ir yra mažesnis nei Lietuvos rodiklis. </w:t>
      </w:r>
    </w:p>
    <w:p w:rsidR="00E72167" w:rsidRPr="00320407" w:rsidRDefault="00E72167" w:rsidP="00E72167">
      <w:pPr>
        <w:ind w:firstLine="1296"/>
        <w:jc w:val="both"/>
      </w:pPr>
    </w:p>
    <w:p w:rsidR="00E72167" w:rsidRDefault="00E72167" w:rsidP="00E72167">
      <w:pPr>
        <w:ind w:firstLine="1296"/>
        <w:jc w:val="both"/>
        <w:rPr>
          <w:b/>
        </w:rPr>
      </w:pPr>
      <w:r>
        <w:rPr>
          <w:b/>
        </w:rPr>
        <w:t>Apsilankymų pas šeimos gydytojus skaičius</w:t>
      </w:r>
    </w:p>
    <w:p w:rsidR="00E72167" w:rsidRDefault="00E72167" w:rsidP="00E72167">
      <w:pPr>
        <w:jc w:val="both"/>
      </w:pPr>
      <w:r>
        <w:rPr>
          <w:lang w:val="lt-LT" w:eastAsia="lt-LT"/>
        </w:rPr>
        <w:drawing>
          <wp:inline distT="0" distB="0" distL="0" distR="0">
            <wp:extent cx="6004675" cy="2747896"/>
            <wp:effectExtent l="19050" t="0" r="15125" b="0"/>
            <wp:docPr id="150"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E72167" w:rsidRPr="000947BE" w:rsidRDefault="00E72167" w:rsidP="00E72167">
      <w:pPr>
        <w:jc w:val="both"/>
        <w:rPr>
          <w:b/>
        </w:rPr>
      </w:pPr>
      <w:r w:rsidRPr="0049416A">
        <w:rPr>
          <w:b/>
        </w:rPr>
        <w:t xml:space="preserve">7 pav. Apsilankymai pas šeimos gydytojus 100 gyventojų 2001 – 2010 m. </w:t>
      </w:r>
    </w:p>
    <w:p w:rsidR="00E72167" w:rsidRDefault="00E72167" w:rsidP="000947BE">
      <w:pPr>
        <w:ind w:firstLine="1296"/>
        <w:jc w:val="both"/>
      </w:pPr>
      <w:r>
        <w:lastRenderedPageBreak/>
        <w:t xml:space="preserve">Apsilankymų pas šeimos gydytojus skaičius 2007 - 2010 metais Vilniaus rajone tolygiai mažėja. </w:t>
      </w:r>
    </w:p>
    <w:p w:rsidR="00E72167" w:rsidRDefault="00E72167" w:rsidP="00E72167">
      <w:pPr>
        <w:ind w:firstLine="1296"/>
        <w:jc w:val="both"/>
        <w:rPr>
          <w:b/>
        </w:rPr>
      </w:pPr>
      <w:r>
        <w:rPr>
          <w:b/>
        </w:rPr>
        <w:t>Apsilankymų pas odontologą skaičius</w:t>
      </w:r>
    </w:p>
    <w:p w:rsidR="00E72167" w:rsidRDefault="00E72167" w:rsidP="00E72167">
      <w:pPr>
        <w:jc w:val="both"/>
        <w:rPr>
          <w:b/>
        </w:rPr>
      </w:pPr>
      <w:r>
        <w:rPr>
          <w:b/>
          <w:lang w:val="lt-LT" w:eastAsia="lt-LT"/>
        </w:rPr>
        <w:drawing>
          <wp:inline distT="0" distB="0" distL="0" distR="0">
            <wp:extent cx="6047051" cy="2747896"/>
            <wp:effectExtent l="19050" t="0" r="10849" b="0"/>
            <wp:docPr id="149"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E72167" w:rsidRPr="00E34701" w:rsidRDefault="00E72167" w:rsidP="00E72167">
      <w:pPr>
        <w:jc w:val="both"/>
        <w:rPr>
          <w:b/>
        </w:rPr>
      </w:pPr>
      <w:r>
        <w:rPr>
          <w:b/>
        </w:rPr>
        <w:t>8 pav. Apsilankymai pas odontologus 1-am gyventojui 2001 – 2010 m.</w:t>
      </w:r>
    </w:p>
    <w:p w:rsidR="00E72167" w:rsidRPr="00DC63B6" w:rsidRDefault="00E72167" w:rsidP="00E72167">
      <w:pPr>
        <w:jc w:val="both"/>
      </w:pPr>
      <w:r>
        <w:rPr>
          <w:b/>
        </w:rPr>
        <w:tab/>
      </w:r>
      <w:r w:rsidRPr="00DC63B6">
        <w:t>Aps</w:t>
      </w:r>
      <w:r>
        <w:t>ilankymų pas gydytojus odontologus skaičius paskutinius trejus metus stabilus, bet mažesnis už Lietuvos rodiklį. Finansinis sunkmetis galėjo įtakoti ir gyventojų galimybes susimokėti ar primokėti už paslaugas.</w:t>
      </w:r>
    </w:p>
    <w:p w:rsidR="00E72167" w:rsidRDefault="00E72167" w:rsidP="00E72167">
      <w:pPr>
        <w:ind w:firstLine="1296"/>
        <w:jc w:val="both"/>
        <w:rPr>
          <w:b/>
        </w:rPr>
      </w:pPr>
    </w:p>
    <w:p w:rsidR="00E72167" w:rsidRDefault="00E72167" w:rsidP="00E72167">
      <w:pPr>
        <w:ind w:firstLine="1296"/>
        <w:jc w:val="both"/>
        <w:rPr>
          <w:b/>
        </w:rPr>
      </w:pPr>
      <w:r>
        <w:rPr>
          <w:b/>
        </w:rPr>
        <w:t>Greitosios medicinos pagalbos suteiktų paslaugų apimtis ir struktūra</w:t>
      </w:r>
    </w:p>
    <w:p w:rsidR="00E72167" w:rsidRDefault="00E72167" w:rsidP="00E72167">
      <w:pPr>
        <w:jc w:val="both"/>
        <w:rPr>
          <w:b/>
        </w:rPr>
      </w:pPr>
      <w:r>
        <w:rPr>
          <w:b/>
          <w:lang w:val="lt-LT" w:eastAsia="lt-LT"/>
        </w:rPr>
        <w:drawing>
          <wp:inline distT="0" distB="0" distL="0" distR="0">
            <wp:extent cx="6047051" cy="2747896"/>
            <wp:effectExtent l="19050" t="0" r="10849" b="0"/>
            <wp:docPr id="14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E72167" w:rsidRDefault="00E72167" w:rsidP="00E72167">
      <w:pPr>
        <w:jc w:val="both"/>
        <w:rPr>
          <w:b/>
        </w:rPr>
      </w:pPr>
      <w:r>
        <w:rPr>
          <w:b/>
        </w:rPr>
        <w:t>9 pav.</w:t>
      </w:r>
      <w:r w:rsidR="000947BE">
        <w:rPr>
          <w:b/>
        </w:rPr>
        <w:t xml:space="preserve"> </w:t>
      </w:r>
      <w:r>
        <w:rPr>
          <w:b/>
        </w:rPr>
        <w:t>Suteikta greitosios medicinos pagalbos paslaugų 1000 gyventojų 2001 – 2010 m.</w:t>
      </w:r>
    </w:p>
    <w:p w:rsidR="00E72167" w:rsidRDefault="00E72167" w:rsidP="00E72167">
      <w:pPr>
        <w:jc w:val="both"/>
        <w:rPr>
          <w:b/>
        </w:rPr>
      </w:pPr>
    </w:p>
    <w:p w:rsidR="00E72167" w:rsidRDefault="00E72167" w:rsidP="00E72167">
      <w:pPr>
        <w:jc w:val="both"/>
      </w:pPr>
      <w:r>
        <w:rPr>
          <w:b/>
        </w:rPr>
        <w:tab/>
      </w:r>
      <w:r w:rsidRPr="000E76FF">
        <w:t>Lyginant su 2009 m. padaugėjo</w:t>
      </w:r>
      <w:r>
        <w:t xml:space="preserve"> Vilniaus rajono gyventojams suteiktų greitosios medicinos pagalbos paslaugų. Vilniaus rajono rodiklis mažiausias tarp lyginamų rajonų. Iškvietimų struktūroje Vilniuje rajone kaip ir visoje Lietuvoje 2010 m. vyrauja ūmūs susirgimai ir būklės</w:t>
      </w:r>
    </w:p>
    <w:p w:rsidR="00E72167" w:rsidRDefault="00E72167" w:rsidP="00E72167">
      <w:pPr>
        <w:jc w:val="both"/>
      </w:pPr>
      <w:r>
        <w:rPr>
          <w:lang w:val="lt-LT" w:eastAsia="lt-LT"/>
        </w:rPr>
        <w:drawing>
          <wp:inline distT="0" distB="0" distL="0" distR="0">
            <wp:extent cx="6089426" cy="2747896"/>
            <wp:effectExtent l="19050" t="0" r="25624" b="0"/>
            <wp:docPr id="14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E72167" w:rsidRPr="000E76FF" w:rsidRDefault="00E72167" w:rsidP="00E72167">
      <w:pPr>
        <w:jc w:val="both"/>
        <w:rPr>
          <w:b/>
        </w:rPr>
      </w:pPr>
      <w:r w:rsidRPr="000E76FF">
        <w:rPr>
          <w:b/>
        </w:rPr>
        <w:t xml:space="preserve">10 pav.Suaugusiems suteikta greitosios </w:t>
      </w:r>
      <w:r>
        <w:rPr>
          <w:b/>
        </w:rPr>
        <w:t xml:space="preserve">medicinos </w:t>
      </w:r>
      <w:r w:rsidRPr="000E76FF">
        <w:rPr>
          <w:b/>
        </w:rPr>
        <w:t>pagalbos paslaugų 1000 suaugusių 2001 – 2010 m.</w:t>
      </w:r>
    </w:p>
    <w:p w:rsidR="00E72167" w:rsidRDefault="00E72167" w:rsidP="00E72167">
      <w:pPr>
        <w:jc w:val="both"/>
      </w:pPr>
    </w:p>
    <w:p w:rsidR="00E72167" w:rsidRDefault="00E72167" w:rsidP="00E72167">
      <w:pPr>
        <w:jc w:val="both"/>
      </w:pPr>
      <w:r>
        <w:tab/>
        <w:t>Suaugusiems gyventojams suteiktų greitosios pagalbos paslaugų 2010 m. padidėjo, tačiau mažiau nei lyginamuose rajonuose.</w:t>
      </w:r>
    </w:p>
    <w:p w:rsidR="00E72167" w:rsidRPr="00DC63B6" w:rsidRDefault="00E72167" w:rsidP="00E72167">
      <w:pPr>
        <w:jc w:val="both"/>
      </w:pPr>
    </w:p>
    <w:p w:rsidR="00E72167" w:rsidRDefault="00E72167" w:rsidP="00E72167">
      <w:pPr>
        <w:jc w:val="both"/>
        <w:rPr>
          <w:b/>
        </w:rPr>
      </w:pPr>
      <w:r>
        <w:rPr>
          <w:b/>
          <w:lang w:val="lt-LT" w:eastAsia="lt-LT"/>
        </w:rPr>
        <w:drawing>
          <wp:inline distT="0" distB="0" distL="0" distR="0">
            <wp:extent cx="6015428" cy="2747896"/>
            <wp:effectExtent l="19050" t="0" r="23422" b="0"/>
            <wp:docPr id="146"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E72167" w:rsidRDefault="00E72167" w:rsidP="00E72167">
      <w:pPr>
        <w:jc w:val="both"/>
        <w:rPr>
          <w:b/>
        </w:rPr>
      </w:pPr>
      <w:r>
        <w:rPr>
          <w:b/>
        </w:rPr>
        <w:t>11 pav. Vaikams suteikta greitosios medicinos pagalbos paslaugų 1000 vaikų 2001 – 2010 m.</w:t>
      </w:r>
    </w:p>
    <w:p w:rsidR="00E72167" w:rsidRPr="00254D6F" w:rsidRDefault="00E72167" w:rsidP="00E72167">
      <w:pPr>
        <w:jc w:val="both"/>
        <w:rPr>
          <w:b/>
        </w:rPr>
      </w:pPr>
    </w:p>
    <w:p w:rsidR="00E72167" w:rsidRPr="000947BE" w:rsidRDefault="00E72167" w:rsidP="000947BE">
      <w:pPr>
        <w:ind w:firstLine="1296"/>
        <w:jc w:val="both"/>
      </w:pPr>
      <w:r w:rsidRPr="00E34701">
        <w:t xml:space="preserve">Vilniaus </w:t>
      </w:r>
      <w:r>
        <w:t>rajono vaikams suteiktų greitosios pagalbos paslaugų skaičius artimas Lietuvos rodikliui ir didesnis nei lyginamuose rajonuose</w:t>
      </w:r>
    </w:p>
    <w:p w:rsidR="00E72167" w:rsidRDefault="00E72167" w:rsidP="000947BE">
      <w:pPr>
        <w:jc w:val="both"/>
        <w:rPr>
          <w:b/>
        </w:rPr>
      </w:pPr>
      <w:r>
        <w:rPr>
          <w:b/>
        </w:rPr>
        <w:tab/>
        <w:t>Paskiepytų vaikų dalis (vakcinacijos mastai pagal vakcinas ir amžių) 2010 m.</w:t>
      </w:r>
      <w:r>
        <w:rPr>
          <w:b/>
        </w:rPr>
        <w:tab/>
      </w:r>
    </w:p>
    <w:p w:rsidR="00E72167" w:rsidRPr="00171973" w:rsidRDefault="00E72167" w:rsidP="00E72167">
      <w:pPr>
        <w:jc w:val="both"/>
      </w:pPr>
      <w:r w:rsidRPr="00171973">
        <w:t>BCG (naujagimiai)</w:t>
      </w:r>
      <w:r>
        <w:t xml:space="preserve"> – 99,2 %</w:t>
      </w:r>
    </w:p>
    <w:p w:rsidR="00E72167" w:rsidRDefault="00E72167" w:rsidP="00E72167">
      <w:pPr>
        <w:jc w:val="both"/>
      </w:pPr>
      <w:r w:rsidRPr="00676EC2">
        <w:t>HepB</w:t>
      </w:r>
      <w:r>
        <w:t xml:space="preserve"> (naujagimiai) – 99,3%</w:t>
      </w:r>
    </w:p>
    <w:p w:rsidR="00E72167" w:rsidRDefault="00E72167" w:rsidP="00E72167">
      <w:pPr>
        <w:jc w:val="both"/>
      </w:pPr>
      <w:r>
        <w:t>DtaP/IPV/Hib (difterija, stabligė, kokliušas, poliomielitas) (1 metų) – 96,9%</w:t>
      </w:r>
    </w:p>
    <w:p w:rsidR="00E72167" w:rsidRDefault="00E72167" w:rsidP="00E72167">
      <w:pPr>
        <w:jc w:val="both"/>
      </w:pPr>
      <w:r>
        <w:t>DtaP/IPV/Hib (difterija, stabligė, kokliušas, poliomielitas) (7 metų) – 97,4%</w:t>
      </w:r>
    </w:p>
    <w:p w:rsidR="00E72167" w:rsidRDefault="00E72167" w:rsidP="00E72167">
      <w:pPr>
        <w:jc w:val="both"/>
      </w:pPr>
      <w:r>
        <w:t>MMR (tymai, raudonukė, parotitas) (2 metų) – 96%</w:t>
      </w:r>
    </w:p>
    <w:p w:rsidR="00E72167" w:rsidRPr="00676EC2" w:rsidRDefault="00E72167" w:rsidP="00E72167">
      <w:pPr>
        <w:jc w:val="both"/>
      </w:pPr>
      <w:r>
        <w:t>MMR (tymai, raudonukė, parotitas) (7 metų) – 97,1%</w:t>
      </w:r>
    </w:p>
    <w:p w:rsidR="00E72167" w:rsidRDefault="00E72167" w:rsidP="00E72167">
      <w:pPr>
        <w:ind w:firstLine="1296"/>
        <w:jc w:val="both"/>
        <w:rPr>
          <w:b/>
        </w:rPr>
      </w:pPr>
      <w:r>
        <w:rPr>
          <w:b/>
        </w:rPr>
        <w:t>Suteiktų paslaugų, apmokamų iš valstybinių programų įgyvendinimui skirtų lėšų, mastas</w:t>
      </w:r>
    </w:p>
    <w:p w:rsidR="00E72167" w:rsidRDefault="00E72167" w:rsidP="00E72167">
      <w:pPr>
        <w:ind w:firstLine="1296"/>
        <w:jc w:val="both"/>
      </w:pPr>
      <w:r>
        <w:t xml:space="preserve">1. </w:t>
      </w:r>
      <w:r w:rsidRPr="00A4105E">
        <w:rPr>
          <w:b/>
        </w:rPr>
        <w:t>Atrankinė</w:t>
      </w:r>
      <w:r>
        <w:rPr>
          <w:b/>
        </w:rPr>
        <w:t>s</w:t>
      </w:r>
      <w:r w:rsidRPr="00A4105E">
        <w:rPr>
          <w:b/>
        </w:rPr>
        <w:t xml:space="preserve"> mamografinės patikros dėl krūties vėžio </w:t>
      </w:r>
      <w:r>
        <w:rPr>
          <w:b/>
        </w:rPr>
        <w:t xml:space="preserve">finansavimo </w:t>
      </w:r>
      <w:r w:rsidRPr="00A4105E">
        <w:rPr>
          <w:b/>
        </w:rPr>
        <w:t>programa</w:t>
      </w:r>
      <w:r>
        <w:rPr>
          <w:b/>
        </w:rPr>
        <w:t xml:space="preserve">, </w:t>
      </w:r>
      <w:r>
        <w:t>pagal kurią moterims nuo 50 iki 69 metų kartą į du metus siūloma atlikti mamografijos tyrimą, kuris leistų nustatyti ankstyvas vėžio stadijas, laiku skirti gydymą bei išvengti ankstyvų mirčių.</w:t>
      </w:r>
    </w:p>
    <w:p w:rsidR="00E72167" w:rsidRDefault="00E72167" w:rsidP="00E72167">
      <w:pPr>
        <w:ind w:firstLine="1296"/>
        <w:jc w:val="both"/>
      </w:pPr>
    </w:p>
    <w:p w:rsidR="00E72167" w:rsidRDefault="00E72167" w:rsidP="00E72167">
      <w:pPr>
        <w:jc w:val="both"/>
      </w:pPr>
      <w:r>
        <w:rPr>
          <w:lang w:val="lt-LT" w:eastAsia="lt-LT"/>
        </w:rPr>
        <w:drawing>
          <wp:inline distT="0" distB="0" distL="0" distR="0">
            <wp:extent cx="6008370" cy="2466975"/>
            <wp:effectExtent l="19050" t="0" r="11430" b="0"/>
            <wp:docPr id="145" name="Chart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E72167" w:rsidRDefault="00E72167" w:rsidP="00E72167">
      <w:pPr>
        <w:jc w:val="both"/>
        <w:rPr>
          <w:b/>
        </w:rPr>
      </w:pPr>
      <w:r>
        <w:rPr>
          <w:b/>
        </w:rPr>
        <w:t>12 pav. Atrankinės mamografinės patikros dėl krūties vėžio finansavimo programos vykdymas 2010 m., informavimo paslauga</w:t>
      </w:r>
    </w:p>
    <w:p w:rsidR="0030693D" w:rsidRDefault="0030693D" w:rsidP="00E72167">
      <w:pPr>
        <w:jc w:val="both"/>
        <w:rPr>
          <w:b/>
        </w:rPr>
      </w:pPr>
    </w:p>
    <w:p w:rsidR="00E72167" w:rsidRPr="001A5422" w:rsidRDefault="00E72167" w:rsidP="00E72167">
      <w:pPr>
        <w:ind w:firstLine="1296"/>
        <w:jc w:val="both"/>
      </w:pPr>
      <w:r w:rsidRPr="001A5422">
        <w:t xml:space="preserve">Vilniaus </w:t>
      </w:r>
      <w:r>
        <w:t xml:space="preserve">rajone informuota 15,73 % moterų, galinčių dalyvauti programoje. </w:t>
      </w:r>
    </w:p>
    <w:p w:rsidR="00E72167" w:rsidRDefault="00E72167" w:rsidP="00E72167">
      <w:pPr>
        <w:ind w:firstLine="1296"/>
        <w:jc w:val="both"/>
      </w:pPr>
    </w:p>
    <w:p w:rsidR="00E72167" w:rsidRDefault="00E72167" w:rsidP="00E72167">
      <w:pPr>
        <w:ind w:firstLine="1296"/>
        <w:jc w:val="both"/>
      </w:pPr>
      <w:r>
        <w:rPr>
          <w:b/>
        </w:rPr>
        <w:lastRenderedPageBreak/>
        <w:t>2. Gimdos kaklelio piktybinių navikų prevencijos priemonių finansavimo programa.</w:t>
      </w:r>
    </w:p>
    <w:p w:rsidR="00E72167" w:rsidRDefault="00E72167" w:rsidP="00E72167">
      <w:pPr>
        <w:ind w:firstLine="1296"/>
        <w:jc w:val="both"/>
      </w:pPr>
    </w:p>
    <w:p w:rsidR="00E72167" w:rsidRDefault="00E72167" w:rsidP="00E72167">
      <w:pPr>
        <w:jc w:val="both"/>
      </w:pPr>
      <w:r>
        <w:rPr>
          <w:lang w:val="lt-LT" w:eastAsia="lt-LT"/>
        </w:rPr>
        <w:drawing>
          <wp:inline distT="0" distB="0" distL="0" distR="0">
            <wp:extent cx="6100179" cy="2747896"/>
            <wp:effectExtent l="19050" t="0" r="14871" b="0"/>
            <wp:docPr id="144" name="Chart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E72167" w:rsidRDefault="00E72167" w:rsidP="00E72167">
      <w:pPr>
        <w:jc w:val="both"/>
        <w:rPr>
          <w:b/>
        </w:rPr>
      </w:pPr>
      <w:r>
        <w:rPr>
          <w:b/>
        </w:rPr>
        <w:t>13 pav. Gimdos kaklelio piktybinių navikų prevencijos programos vykdymas 2010 m., informavimo paslauga</w:t>
      </w:r>
    </w:p>
    <w:p w:rsidR="00E72167" w:rsidRDefault="00E72167" w:rsidP="00E72167">
      <w:pPr>
        <w:ind w:firstLine="1296"/>
        <w:jc w:val="both"/>
      </w:pPr>
    </w:p>
    <w:p w:rsidR="00E72167" w:rsidRDefault="00E72167" w:rsidP="00E72167">
      <w:pPr>
        <w:jc w:val="both"/>
      </w:pPr>
      <w:r>
        <w:rPr>
          <w:lang w:val="lt-LT" w:eastAsia="lt-LT"/>
        </w:rPr>
        <w:drawing>
          <wp:inline distT="0" distB="0" distL="0" distR="0">
            <wp:extent cx="6057803" cy="2747896"/>
            <wp:effectExtent l="19050" t="0" r="19147" b="0"/>
            <wp:docPr id="14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E72167" w:rsidRDefault="00E72167" w:rsidP="00E72167">
      <w:pPr>
        <w:jc w:val="both"/>
        <w:rPr>
          <w:b/>
        </w:rPr>
      </w:pPr>
      <w:r>
        <w:rPr>
          <w:b/>
        </w:rPr>
        <w:t>14 pav. Gimdos kaklelio piktybinių navikų prevencijos programos vykdymas 2010 m., tepinėlio paėmimo paslauga</w:t>
      </w:r>
    </w:p>
    <w:p w:rsidR="00E72167" w:rsidRDefault="00E72167" w:rsidP="00E72167">
      <w:pPr>
        <w:jc w:val="both"/>
        <w:rPr>
          <w:b/>
        </w:rPr>
      </w:pPr>
    </w:p>
    <w:p w:rsidR="00E72167" w:rsidRPr="0030693D" w:rsidRDefault="00E72167" w:rsidP="0030693D">
      <w:pPr>
        <w:ind w:firstLine="1296"/>
        <w:jc w:val="both"/>
      </w:pPr>
      <w:r w:rsidRPr="001A5422">
        <w:t>Gimdos kaklelio prevencijos programa skirta</w:t>
      </w:r>
      <w:r>
        <w:t xml:space="preserve"> 25 – 60 moterims kartą į 3 metus. Pagal ją 2010 m. Vilniaus rajone 17,59 % moterų nuo galinčių dalyvauti programoje informuotos apie </w:t>
      </w:r>
      <w:r>
        <w:lastRenderedPageBreak/>
        <w:t>galimybę gauti paslaugą, 12,22 % moterų buvo paimtas gimdos kaklelio tepinėlis ir nusiųstas įvertinti.</w:t>
      </w:r>
    </w:p>
    <w:p w:rsidR="00E72167" w:rsidRDefault="00E72167" w:rsidP="0030693D">
      <w:pPr>
        <w:ind w:firstLine="1296"/>
        <w:jc w:val="both"/>
      </w:pPr>
      <w:r w:rsidRPr="007A190A">
        <w:rPr>
          <w:b/>
        </w:rPr>
        <w:t xml:space="preserve">3. Priešinės liaukos vėžio ankstyvosios diagnostikos </w:t>
      </w:r>
      <w:r>
        <w:rPr>
          <w:b/>
        </w:rPr>
        <w:t xml:space="preserve">finansavimo </w:t>
      </w:r>
      <w:r w:rsidRPr="007A190A">
        <w:rPr>
          <w:b/>
        </w:rPr>
        <w:t>programa</w:t>
      </w:r>
      <w:r>
        <w:t xml:space="preserve"> skirta vyrams nuo 50 iki 75 metų ar vyrams nuo 45 metų, jei jų tėvai ir broliai sirgę prostatos vėžiu. Testas atliekamas kas 2 metus.</w:t>
      </w:r>
    </w:p>
    <w:p w:rsidR="00E72167" w:rsidRDefault="00E72167" w:rsidP="00E72167">
      <w:pPr>
        <w:jc w:val="both"/>
      </w:pPr>
      <w:r>
        <w:rPr>
          <w:lang w:val="lt-LT" w:eastAsia="lt-LT"/>
        </w:rPr>
        <w:drawing>
          <wp:inline distT="0" distB="0" distL="0" distR="0">
            <wp:extent cx="6057900" cy="2581275"/>
            <wp:effectExtent l="19050" t="0" r="19050" b="0"/>
            <wp:docPr id="142" name="Chart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E72167" w:rsidRDefault="00E72167" w:rsidP="00E72167">
      <w:pPr>
        <w:jc w:val="both"/>
        <w:rPr>
          <w:b/>
        </w:rPr>
      </w:pPr>
      <w:r>
        <w:rPr>
          <w:b/>
        </w:rPr>
        <w:t>15 pav. Priešinės liaukos vėžio ankstyvosios diagnostikos programos vykdymas 2010 m., informavimo paslauga</w:t>
      </w:r>
    </w:p>
    <w:p w:rsidR="00E72167" w:rsidRPr="001A5422" w:rsidRDefault="00E72167" w:rsidP="00E72167">
      <w:pPr>
        <w:ind w:firstLine="1296"/>
        <w:jc w:val="both"/>
      </w:pPr>
      <w:r>
        <w:t>Vilniaus rajone 2010 m. informuota 21,19 % vyrų, galinčių dalyvauti programoje.</w:t>
      </w:r>
    </w:p>
    <w:p w:rsidR="00E72167" w:rsidRDefault="00E72167" w:rsidP="00E72167">
      <w:pPr>
        <w:ind w:firstLine="1296"/>
        <w:jc w:val="both"/>
      </w:pPr>
    </w:p>
    <w:p w:rsidR="00E72167" w:rsidRDefault="00E72167" w:rsidP="0030693D">
      <w:pPr>
        <w:ind w:firstLine="1296"/>
        <w:jc w:val="both"/>
      </w:pPr>
      <w:r w:rsidRPr="00A42688">
        <w:rPr>
          <w:b/>
        </w:rPr>
        <w:t xml:space="preserve">4. Storosios žarnos vėžio ankstyvosios diagnostikos </w:t>
      </w:r>
      <w:r>
        <w:rPr>
          <w:b/>
        </w:rPr>
        <w:t xml:space="preserve">finansavimo </w:t>
      </w:r>
      <w:r w:rsidRPr="00A42688">
        <w:rPr>
          <w:b/>
        </w:rPr>
        <w:t>programa</w:t>
      </w:r>
      <w:r>
        <w:t xml:space="preserve"> skirta vyrams ir moterims nuo 50 iki 75 metų, tyrimus atliekant kas 2 metus.</w:t>
      </w:r>
    </w:p>
    <w:p w:rsidR="00E72167" w:rsidRDefault="00E72167" w:rsidP="00E72167">
      <w:pPr>
        <w:jc w:val="both"/>
      </w:pPr>
      <w:r>
        <w:rPr>
          <w:lang w:val="lt-LT" w:eastAsia="lt-LT"/>
        </w:rPr>
        <w:drawing>
          <wp:inline distT="0" distB="0" distL="0" distR="0">
            <wp:extent cx="6068060" cy="2514600"/>
            <wp:effectExtent l="19050" t="0" r="27940" b="0"/>
            <wp:docPr id="14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E72167" w:rsidRPr="00830120" w:rsidRDefault="00E72167" w:rsidP="00E72167">
      <w:pPr>
        <w:jc w:val="both"/>
        <w:rPr>
          <w:b/>
        </w:rPr>
      </w:pPr>
      <w:r>
        <w:rPr>
          <w:b/>
        </w:rPr>
        <w:t>16</w:t>
      </w:r>
      <w:r w:rsidRPr="00830120">
        <w:rPr>
          <w:b/>
        </w:rPr>
        <w:t xml:space="preserve"> pav. Storosios žarnos vėžio ankstyvosios diagnostikos programos vykdymas 2010 m., informavimo paslauga</w:t>
      </w:r>
    </w:p>
    <w:p w:rsidR="00E72167" w:rsidRDefault="00E72167" w:rsidP="00E72167">
      <w:pPr>
        <w:ind w:firstLine="1296"/>
        <w:jc w:val="both"/>
      </w:pPr>
    </w:p>
    <w:p w:rsidR="00E72167" w:rsidRDefault="00E72167" w:rsidP="00E72167">
      <w:pPr>
        <w:jc w:val="both"/>
      </w:pPr>
      <w:r>
        <w:rPr>
          <w:lang w:val="lt-LT" w:eastAsia="lt-LT"/>
        </w:rPr>
        <w:drawing>
          <wp:inline distT="0" distB="0" distL="0" distR="0">
            <wp:extent cx="6068060" cy="2495550"/>
            <wp:effectExtent l="19050" t="0" r="27940" b="0"/>
            <wp:docPr id="140"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72167" w:rsidRDefault="00E72167" w:rsidP="00E72167">
      <w:pPr>
        <w:jc w:val="both"/>
        <w:rPr>
          <w:b/>
        </w:rPr>
      </w:pPr>
      <w:r>
        <w:rPr>
          <w:b/>
        </w:rPr>
        <w:t xml:space="preserve">17 pav. </w:t>
      </w:r>
      <w:r w:rsidRPr="00830120">
        <w:rPr>
          <w:b/>
        </w:rPr>
        <w:t xml:space="preserve">Storosios žarnos vėžio ankstyvosios diagnostikos programos vykdymas 2010 m., </w:t>
      </w:r>
      <w:r>
        <w:rPr>
          <w:b/>
        </w:rPr>
        <w:t>nusiųsta pacientų kolonoskopijai</w:t>
      </w:r>
    </w:p>
    <w:p w:rsidR="0030693D" w:rsidRDefault="0030693D" w:rsidP="00E72167">
      <w:pPr>
        <w:jc w:val="both"/>
        <w:rPr>
          <w:b/>
        </w:rPr>
      </w:pPr>
    </w:p>
    <w:p w:rsidR="00E72167" w:rsidRPr="001A5422" w:rsidRDefault="00E72167" w:rsidP="00E72167">
      <w:pPr>
        <w:ind w:firstLine="1296"/>
        <w:jc w:val="both"/>
      </w:pPr>
      <w:r>
        <w:t>Apie galimybę dalyvauti programoje Vilniaus rajone 2010 m. informuoti 19,87 % nuo galinčių dalyvauti programoje, kolonoskopijai nusiųsta 0,46 % gyventojų.</w:t>
      </w:r>
    </w:p>
    <w:p w:rsidR="00E72167" w:rsidRDefault="00E72167" w:rsidP="00E72167">
      <w:pPr>
        <w:ind w:firstLine="1296"/>
        <w:jc w:val="both"/>
      </w:pPr>
    </w:p>
    <w:p w:rsidR="00E72167" w:rsidRDefault="00E72167" w:rsidP="00E72167">
      <w:pPr>
        <w:ind w:firstLine="1296"/>
        <w:jc w:val="both"/>
      </w:pPr>
      <w:r w:rsidRPr="00D87FCB">
        <w:rPr>
          <w:b/>
        </w:rPr>
        <w:t>5. Asmenų, priskirtinų širdies ir kraujagyslių ligų didelės rizikos grupei, atrankos ir prevencijos priemonių finansavimo programa</w:t>
      </w:r>
      <w:r>
        <w:t>, skirta vyrams nuo 40 iki 55 metų ir moterims nuo50 iki 65 metų, paslaugas teikiant vieną kartą per metus.</w:t>
      </w:r>
    </w:p>
    <w:p w:rsidR="00E72167" w:rsidRDefault="00E72167" w:rsidP="00E72167">
      <w:pPr>
        <w:ind w:firstLine="1296"/>
        <w:jc w:val="both"/>
      </w:pPr>
    </w:p>
    <w:p w:rsidR="00E72167" w:rsidRDefault="00E72167" w:rsidP="00E72167">
      <w:pPr>
        <w:jc w:val="both"/>
      </w:pPr>
      <w:r>
        <w:rPr>
          <w:lang w:val="lt-LT" w:eastAsia="lt-LT"/>
        </w:rPr>
        <w:drawing>
          <wp:inline distT="0" distB="0" distL="0" distR="0">
            <wp:extent cx="6089650" cy="2476500"/>
            <wp:effectExtent l="19050" t="0" r="25400" b="0"/>
            <wp:docPr id="139" name="Chart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E72167" w:rsidRDefault="00E72167" w:rsidP="00E72167">
      <w:pPr>
        <w:jc w:val="both"/>
        <w:rPr>
          <w:b/>
        </w:rPr>
      </w:pPr>
      <w:r>
        <w:rPr>
          <w:b/>
        </w:rPr>
        <w:t>18 pav. Asmenų, priskirtų širdies ir kraujagyslių ligų didelės rizikos grupei, atrankos ir prevencijos priemonių programos vykdymas</w:t>
      </w:r>
    </w:p>
    <w:p w:rsidR="00E72167" w:rsidRDefault="00E72167" w:rsidP="00E72167">
      <w:pPr>
        <w:ind w:firstLine="1296"/>
        <w:jc w:val="both"/>
        <w:rPr>
          <w:b/>
        </w:rPr>
      </w:pPr>
    </w:p>
    <w:p w:rsidR="00E72167" w:rsidRPr="00F17351" w:rsidRDefault="00E72167" w:rsidP="00E72167">
      <w:pPr>
        <w:ind w:firstLine="1296"/>
      </w:pPr>
      <w:r w:rsidRPr="00F17351">
        <w:t>Vykdant šią</w:t>
      </w:r>
      <w:r>
        <w:t xml:space="preserve"> programą Vilniaus rajone 2010 m. informuota 16,36 % asmenų galinčių dalyvauti programoje. </w:t>
      </w:r>
    </w:p>
    <w:p w:rsidR="00E72167" w:rsidRDefault="00E72167" w:rsidP="00E72167">
      <w:pPr>
        <w:ind w:firstLine="1296"/>
        <w:jc w:val="both"/>
      </w:pPr>
    </w:p>
    <w:p w:rsidR="00E72167" w:rsidRDefault="00E72167" w:rsidP="00E72167">
      <w:pPr>
        <w:ind w:firstLine="1296"/>
        <w:jc w:val="both"/>
      </w:pPr>
      <w:r>
        <w:t xml:space="preserve">6. </w:t>
      </w:r>
      <w:r w:rsidRPr="00D87FCB">
        <w:rPr>
          <w:b/>
        </w:rPr>
        <w:t>Vaikų krūminių dantų dengimo silantinėmis medžiagomis programa</w:t>
      </w:r>
      <w:r>
        <w:t xml:space="preserve"> skirta vaikams nuo 6 iki 14 metų dengiant jų nuolatinių krūminių dantų kramtuomuosius paviršius silantinėmis medžiagomis, jei tie dantukai dar nepažeisti karieso. </w:t>
      </w:r>
    </w:p>
    <w:p w:rsidR="00E72167" w:rsidRDefault="00E72167" w:rsidP="00E72167">
      <w:pPr>
        <w:ind w:firstLine="1296"/>
        <w:jc w:val="both"/>
      </w:pPr>
    </w:p>
    <w:p w:rsidR="00E72167" w:rsidRDefault="00E72167" w:rsidP="00E72167">
      <w:pPr>
        <w:jc w:val="both"/>
      </w:pPr>
      <w:r>
        <w:rPr>
          <w:lang w:val="lt-LT" w:eastAsia="lt-LT"/>
        </w:rPr>
        <w:drawing>
          <wp:inline distT="0" distB="0" distL="0" distR="0">
            <wp:extent cx="6110298" cy="2747896"/>
            <wp:effectExtent l="19050" t="0" r="23802" b="0"/>
            <wp:docPr id="13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E72167" w:rsidRDefault="00E72167" w:rsidP="00E72167">
      <w:pPr>
        <w:jc w:val="both"/>
        <w:rPr>
          <w:b/>
        </w:rPr>
      </w:pPr>
      <w:r>
        <w:rPr>
          <w:b/>
        </w:rPr>
        <w:t>19 pav. Vaikų krūminių dantų dengimo silantinėmis medžiagomis programos vykdymas 2010m.</w:t>
      </w:r>
    </w:p>
    <w:p w:rsidR="00E72167" w:rsidRDefault="00E72167" w:rsidP="00E72167">
      <w:pPr>
        <w:ind w:firstLine="1296"/>
        <w:jc w:val="both"/>
        <w:rPr>
          <w:b/>
        </w:rPr>
      </w:pPr>
    </w:p>
    <w:p w:rsidR="00E72167" w:rsidRPr="00A8047C" w:rsidRDefault="00E72167" w:rsidP="00E72167">
      <w:pPr>
        <w:ind w:firstLine="1296"/>
        <w:jc w:val="both"/>
      </w:pPr>
      <w:r w:rsidRPr="00A8047C">
        <w:t xml:space="preserve">Vykdant šią programą, Vilniaus </w:t>
      </w:r>
      <w:r>
        <w:t>rajone 23,97 % vaikų nuo galinčių dalyvauti programoje, krūminiai dantys padengti silantinėmis medžiagomis.</w:t>
      </w:r>
    </w:p>
    <w:p w:rsidR="00E72167" w:rsidRDefault="00E72167" w:rsidP="00E72167">
      <w:pPr>
        <w:ind w:firstLine="1296"/>
        <w:jc w:val="both"/>
      </w:pPr>
    </w:p>
    <w:p w:rsidR="00A241E3" w:rsidRDefault="00A241E3" w:rsidP="00E72167">
      <w:pPr>
        <w:jc w:val="both"/>
        <w:rPr>
          <w:b/>
        </w:rPr>
      </w:pPr>
    </w:p>
    <w:p w:rsidR="00A241E3" w:rsidRDefault="00A241E3" w:rsidP="00E72167">
      <w:pPr>
        <w:jc w:val="both"/>
        <w:rPr>
          <w:b/>
        </w:rPr>
      </w:pPr>
    </w:p>
    <w:p w:rsidR="00A241E3" w:rsidRDefault="00A241E3" w:rsidP="00E72167">
      <w:pPr>
        <w:jc w:val="both"/>
        <w:rPr>
          <w:b/>
        </w:rPr>
      </w:pPr>
    </w:p>
    <w:p w:rsidR="00A241E3" w:rsidRDefault="00A241E3" w:rsidP="00A241E3">
      <w:pPr>
        <w:pStyle w:val="NoSpacing"/>
        <w:rPr>
          <w:rFonts w:eastAsia="Calibri" w:cs="Times New Roman"/>
          <w:b/>
          <w:noProof/>
        </w:rPr>
      </w:pPr>
    </w:p>
    <w:p w:rsidR="004D0939" w:rsidRDefault="004D0939" w:rsidP="00A241E3">
      <w:pPr>
        <w:pStyle w:val="NoSpacing"/>
        <w:rPr>
          <w:rFonts w:cs="Times New Roman"/>
          <w:sz w:val="36"/>
          <w:szCs w:val="36"/>
          <w:lang w:val="lt-LT"/>
        </w:rPr>
      </w:pPr>
    </w:p>
    <w:p w:rsidR="004D0939" w:rsidRDefault="004D0939" w:rsidP="00A241E3">
      <w:pPr>
        <w:pStyle w:val="NoSpacing"/>
        <w:rPr>
          <w:rFonts w:cs="Times New Roman"/>
          <w:sz w:val="36"/>
          <w:szCs w:val="36"/>
          <w:lang w:val="lt-LT"/>
        </w:rPr>
      </w:pPr>
    </w:p>
    <w:p w:rsidR="004D0939" w:rsidRDefault="004D0939" w:rsidP="00A241E3">
      <w:pPr>
        <w:pStyle w:val="NoSpacing"/>
        <w:rPr>
          <w:rFonts w:cs="Times New Roman"/>
          <w:sz w:val="36"/>
          <w:szCs w:val="36"/>
          <w:lang w:val="lt-LT"/>
        </w:rPr>
      </w:pPr>
    </w:p>
    <w:p w:rsidR="00A241E3" w:rsidRPr="005B46E8" w:rsidRDefault="00A241E3" w:rsidP="005B46E8">
      <w:pPr>
        <w:pStyle w:val="NoSpacing"/>
        <w:jc w:val="center"/>
        <w:rPr>
          <w:rFonts w:cs="Times New Roman"/>
          <w:b/>
          <w:sz w:val="32"/>
          <w:szCs w:val="32"/>
          <w:lang w:val="lt-LT"/>
        </w:rPr>
      </w:pPr>
      <w:r w:rsidRPr="005B46E8">
        <w:rPr>
          <w:rFonts w:cs="Times New Roman"/>
          <w:b/>
          <w:sz w:val="32"/>
          <w:szCs w:val="32"/>
          <w:lang w:val="lt-LT"/>
        </w:rPr>
        <w:lastRenderedPageBreak/>
        <w:t>Visuomenės sveikatos stebėsenos rodiklių apibendrinimas</w:t>
      </w:r>
      <w:r w:rsidR="00786DB2">
        <w:rPr>
          <w:rFonts w:cs="Times New Roman"/>
          <w:b/>
          <w:sz w:val="32"/>
          <w:szCs w:val="32"/>
          <w:lang w:val="lt-LT"/>
        </w:rPr>
        <w:t>, išvados</w:t>
      </w:r>
      <w:r w:rsidRPr="005B46E8">
        <w:rPr>
          <w:rFonts w:cs="Times New Roman"/>
          <w:b/>
          <w:sz w:val="32"/>
          <w:szCs w:val="32"/>
          <w:lang w:val="lt-LT"/>
        </w:rPr>
        <w:t xml:space="preserve"> ir rekomendacijos</w:t>
      </w:r>
    </w:p>
    <w:p w:rsidR="005B46E8" w:rsidRDefault="005B46E8" w:rsidP="00A241E3">
      <w:pPr>
        <w:pStyle w:val="NoSpacing"/>
        <w:rPr>
          <w:rFonts w:cs="Times New Roman"/>
          <w:b/>
          <w:sz w:val="32"/>
          <w:szCs w:val="32"/>
          <w:lang w:val="lt-LT"/>
        </w:rPr>
      </w:pPr>
    </w:p>
    <w:p w:rsidR="00A241E3" w:rsidRPr="00306554" w:rsidRDefault="00306554" w:rsidP="005B46E8">
      <w:pPr>
        <w:pStyle w:val="NoSpacing"/>
        <w:ind w:firstLine="567"/>
        <w:rPr>
          <w:rFonts w:cs="Times New Roman"/>
          <w:b/>
          <w:sz w:val="28"/>
          <w:szCs w:val="28"/>
          <w:lang w:val="lt-LT"/>
        </w:rPr>
      </w:pPr>
      <w:r w:rsidRPr="00306554">
        <w:rPr>
          <w:rFonts w:cs="Times New Roman"/>
          <w:b/>
          <w:sz w:val="28"/>
          <w:szCs w:val="28"/>
          <w:lang w:val="lt-LT"/>
        </w:rPr>
        <w:t>Sveikatos būklė</w:t>
      </w:r>
    </w:p>
    <w:p w:rsidR="00A241E3" w:rsidRPr="00AA54E5" w:rsidRDefault="00A241E3" w:rsidP="00A241E3">
      <w:pPr>
        <w:pStyle w:val="NoSpacing"/>
        <w:rPr>
          <w:rFonts w:cs="Times New Roman"/>
          <w:sz w:val="36"/>
          <w:szCs w:val="36"/>
          <w:lang w:val="lt-LT"/>
        </w:rPr>
      </w:pPr>
    </w:p>
    <w:p w:rsidR="00A241E3" w:rsidRDefault="00A241E3" w:rsidP="00A241E3">
      <w:pPr>
        <w:spacing w:after="0"/>
        <w:ind w:firstLine="567"/>
        <w:jc w:val="both"/>
        <w:rPr>
          <w:b/>
          <w:szCs w:val="24"/>
          <w:lang w:val="lt-LT"/>
        </w:rPr>
      </w:pPr>
      <w:r w:rsidRPr="00A5286E">
        <w:rPr>
          <w:b/>
          <w:szCs w:val="24"/>
          <w:lang w:val="lt-LT"/>
        </w:rPr>
        <w:t>Kraujotakos sistemos ligos</w:t>
      </w:r>
    </w:p>
    <w:p w:rsidR="00A241E3" w:rsidRPr="00A5286E" w:rsidRDefault="00A241E3" w:rsidP="00A241E3">
      <w:pPr>
        <w:spacing w:after="0"/>
        <w:ind w:firstLine="567"/>
        <w:jc w:val="both"/>
        <w:rPr>
          <w:b/>
          <w:szCs w:val="24"/>
          <w:lang w:val="lt-LT"/>
        </w:rPr>
      </w:pPr>
    </w:p>
    <w:p w:rsidR="00A241E3" w:rsidRDefault="00A241E3" w:rsidP="00A241E3">
      <w:pPr>
        <w:spacing w:after="0"/>
        <w:ind w:firstLine="567"/>
        <w:jc w:val="both"/>
        <w:rPr>
          <w:szCs w:val="24"/>
        </w:rPr>
      </w:pPr>
      <w:r w:rsidRPr="00906642">
        <w:rPr>
          <w:szCs w:val="24"/>
        </w:rPr>
        <w:t xml:space="preserve">Šiuo metu neabejojama, kad netinkama mityba, riebus, daug sočiųjų riebalų rūgščių bei cholesterolio turintis maistas, mažas fizinis aktyvumas, rūkymas, nuolatinė nervinė įtampa yra svarbūs kraujotakos sistemos ligų rizikos veiksniai. </w:t>
      </w:r>
      <w:r>
        <w:rPr>
          <w:szCs w:val="24"/>
          <w:lang w:val="lt-LT"/>
        </w:rPr>
        <w:t xml:space="preserve">Kraujotakos sistemos ligos buvo ir tebėra pagrindinė Lietuvos, tuo pačiu ir Vilniaus rajono gyventojų mirties priežastis. </w:t>
      </w:r>
      <w:r>
        <w:rPr>
          <w:szCs w:val="24"/>
        </w:rPr>
        <w:t xml:space="preserve">Vilniaus rajone, kaip ir visoje Lietuvoje, stebimos </w:t>
      </w:r>
      <w:r w:rsidRPr="005E4623">
        <w:rPr>
          <w:szCs w:val="24"/>
        </w:rPr>
        <w:t>asmenų, sergančių kraujotakos sistemos ligomis, skaiči</w:t>
      </w:r>
      <w:r>
        <w:rPr>
          <w:szCs w:val="24"/>
        </w:rPr>
        <w:t>a</w:t>
      </w:r>
      <w:r w:rsidRPr="005E4623">
        <w:rPr>
          <w:szCs w:val="24"/>
        </w:rPr>
        <w:t xml:space="preserve">us </w:t>
      </w:r>
      <w:r>
        <w:rPr>
          <w:szCs w:val="24"/>
        </w:rPr>
        <w:t>didėjimo tendencijos</w:t>
      </w:r>
      <w:r w:rsidRPr="005E4623">
        <w:rPr>
          <w:szCs w:val="24"/>
        </w:rPr>
        <w:t>.</w:t>
      </w:r>
    </w:p>
    <w:p w:rsidR="00A241E3" w:rsidRDefault="00A241E3" w:rsidP="00A241E3">
      <w:pPr>
        <w:spacing w:after="0"/>
        <w:ind w:firstLine="567"/>
        <w:jc w:val="both"/>
        <w:rPr>
          <w:szCs w:val="24"/>
          <w:lang w:val="lt-LT"/>
        </w:rPr>
      </w:pPr>
    </w:p>
    <w:p w:rsidR="00A241E3" w:rsidRPr="00F2780F" w:rsidRDefault="00A241E3" w:rsidP="00A241E3">
      <w:pPr>
        <w:spacing w:after="0"/>
        <w:jc w:val="both"/>
        <w:rPr>
          <w:szCs w:val="24"/>
          <w:u w:val="single"/>
          <w:lang w:val="lt-LT"/>
        </w:rPr>
      </w:pPr>
      <w:r w:rsidRPr="00F2780F">
        <w:rPr>
          <w:szCs w:val="24"/>
          <w:u w:val="single"/>
          <w:lang w:val="lt-LT"/>
        </w:rPr>
        <w:t>Rekomendacijos:</w:t>
      </w:r>
    </w:p>
    <w:p w:rsidR="00A241E3" w:rsidRPr="00FC596C" w:rsidRDefault="00A241E3" w:rsidP="00A241E3">
      <w:pPr>
        <w:pStyle w:val="ListParagraph"/>
        <w:numPr>
          <w:ilvl w:val="0"/>
          <w:numId w:val="5"/>
        </w:numPr>
        <w:jc w:val="both"/>
        <w:rPr>
          <w:lang w:val="lt-LT"/>
        </w:rPr>
      </w:pPr>
      <w:r w:rsidRPr="00FC596C">
        <w:rPr>
          <w:lang w:val="lt-LT"/>
        </w:rPr>
        <w:t>Rengti nuolatines a</w:t>
      </w:r>
      <w:r w:rsidRPr="00FC596C">
        <w:rPr>
          <w:rFonts w:eastAsia="Calibri"/>
          <w:lang w:val="lt-LT"/>
        </w:rPr>
        <w:t>smenų, priskirtinų širdies ir kraujagyslių ligų didelės rizikos grupei, atrankos ir prevencijos program</w:t>
      </w:r>
      <w:r w:rsidRPr="00FC596C">
        <w:rPr>
          <w:lang w:val="lt-LT"/>
        </w:rPr>
        <w:t xml:space="preserve">as Vilniaus </w:t>
      </w:r>
      <w:r>
        <w:rPr>
          <w:lang w:val="lt-LT"/>
        </w:rPr>
        <w:t>rajono</w:t>
      </w:r>
      <w:r w:rsidRPr="00FC596C">
        <w:rPr>
          <w:lang w:val="lt-LT"/>
        </w:rPr>
        <w:t xml:space="preserve"> savivaldybėje;</w:t>
      </w:r>
    </w:p>
    <w:p w:rsidR="00A241E3" w:rsidRPr="00FC596C" w:rsidRDefault="00A241E3" w:rsidP="00A241E3">
      <w:pPr>
        <w:pStyle w:val="ListParagraph"/>
        <w:numPr>
          <w:ilvl w:val="0"/>
          <w:numId w:val="5"/>
        </w:numPr>
        <w:jc w:val="both"/>
        <w:rPr>
          <w:lang w:val="lt-LT"/>
        </w:rPr>
      </w:pPr>
      <w:r w:rsidRPr="00FC596C">
        <w:rPr>
          <w:lang w:val="lt-LT"/>
        </w:rPr>
        <w:t xml:space="preserve">Didinti Vilniaus </w:t>
      </w:r>
      <w:r>
        <w:rPr>
          <w:lang w:val="lt-LT"/>
        </w:rPr>
        <w:t>rajono</w:t>
      </w:r>
      <w:r w:rsidRPr="00FC596C">
        <w:rPr>
          <w:lang w:val="lt-LT"/>
        </w:rPr>
        <w:t xml:space="preserve"> gyventojų informuotumą apie kraujotakos sistemos ligas, jų rizikos veiksnius bei profilaktikos priemones;</w:t>
      </w:r>
    </w:p>
    <w:p w:rsidR="00A241E3" w:rsidRDefault="00A241E3" w:rsidP="00A241E3">
      <w:pPr>
        <w:pStyle w:val="ListParagraph"/>
        <w:numPr>
          <w:ilvl w:val="0"/>
          <w:numId w:val="5"/>
        </w:numPr>
        <w:jc w:val="both"/>
        <w:rPr>
          <w:lang w:val="lt-LT"/>
        </w:rPr>
      </w:pPr>
      <w:r w:rsidRPr="00FC596C">
        <w:rPr>
          <w:lang w:val="lt-LT"/>
        </w:rPr>
        <w:t xml:space="preserve">Skatinti </w:t>
      </w:r>
      <w:r>
        <w:rPr>
          <w:lang w:val="lt-LT"/>
        </w:rPr>
        <w:t>Vilniaus rajono gyventojus reguliariai tikrinti</w:t>
      </w:r>
      <w:r w:rsidRPr="00FC596C">
        <w:rPr>
          <w:lang w:val="lt-LT"/>
        </w:rPr>
        <w:t xml:space="preserve"> kraujo spaudimą, cholesterolio kiekį kraujyje bei nustatyti kūno masės indeksą;</w:t>
      </w:r>
    </w:p>
    <w:p w:rsidR="00A241E3" w:rsidRDefault="00A241E3" w:rsidP="00A241E3">
      <w:pPr>
        <w:pStyle w:val="ListParagraph"/>
        <w:numPr>
          <w:ilvl w:val="0"/>
          <w:numId w:val="5"/>
        </w:numPr>
        <w:jc w:val="both"/>
        <w:rPr>
          <w:lang w:val="lt-LT"/>
        </w:rPr>
      </w:pPr>
      <w:r>
        <w:rPr>
          <w:lang w:val="lt-LT"/>
        </w:rPr>
        <w:t>Vykdyti kraujotakos sistemos ligų prevencines akcijas, kurių metu būtu atliekami tyrimai šių ligų diagnostikai bei žmonių sveikos gyvensenos</w:t>
      </w:r>
      <w:r w:rsidRPr="00925019">
        <w:rPr>
          <w:lang w:val="lt-LT"/>
        </w:rPr>
        <w:t xml:space="preserve"> </w:t>
      </w:r>
      <w:r>
        <w:rPr>
          <w:lang w:val="lt-LT"/>
        </w:rPr>
        <w:t>ugdymas;</w:t>
      </w:r>
    </w:p>
    <w:p w:rsidR="00A241E3" w:rsidRPr="00FC596C" w:rsidRDefault="00A241E3" w:rsidP="00A241E3">
      <w:pPr>
        <w:pStyle w:val="ListParagraph"/>
        <w:numPr>
          <w:ilvl w:val="0"/>
          <w:numId w:val="5"/>
        </w:numPr>
        <w:jc w:val="both"/>
        <w:rPr>
          <w:lang w:val="lt-LT"/>
        </w:rPr>
      </w:pPr>
      <w:r>
        <w:rPr>
          <w:lang w:val="lt-LT"/>
        </w:rPr>
        <w:t xml:space="preserve">Didinti gyventojų informuotumą apie sveiką gyvenimo būdą: visavertę mitybą, fizinį aktyvumą bei neigiamą žalingų įpročių (rūkymą, alkoholio vartojimą) poveikį sveikatai </w:t>
      </w:r>
      <w:r w:rsidRPr="005502FE">
        <w:rPr>
          <w:i/>
          <w:lang w:val="lt-LT"/>
        </w:rPr>
        <w:t>(mitybos, fizinio aktyvumo, psichoaktyviųjų medžiagų rekomendacijas</w:t>
      </w:r>
      <w:r w:rsidR="00C7080C">
        <w:rPr>
          <w:i/>
          <w:lang w:val="lt-LT"/>
        </w:rPr>
        <w:t xml:space="preserve"> (žiūr. žemiau)</w:t>
      </w:r>
      <w:r w:rsidRPr="005502FE">
        <w:rPr>
          <w:i/>
          <w:lang w:val="lt-LT"/>
        </w:rPr>
        <w:t>).</w:t>
      </w:r>
    </w:p>
    <w:p w:rsidR="00A241E3" w:rsidRDefault="00A241E3" w:rsidP="00A241E3">
      <w:pPr>
        <w:pStyle w:val="ListParagraph"/>
        <w:jc w:val="both"/>
        <w:rPr>
          <w:i/>
          <w:lang w:val="lt-LT"/>
        </w:rPr>
      </w:pPr>
    </w:p>
    <w:p w:rsidR="00306554" w:rsidRPr="00AA54E5" w:rsidRDefault="00306554" w:rsidP="00A241E3">
      <w:pPr>
        <w:pStyle w:val="ListParagraph"/>
        <w:jc w:val="both"/>
        <w:rPr>
          <w:i/>
          <w:lang w:val="lt-LT"/>
        </w:rPr>
      </w:pPr>
    </w:p>
    <w:p w:rsidR="00A241E3" w:rsidRPr="0030693D" w:rsidRDefault="00A241E3" w:rsidP="00A241E3">
      <w:pPr>
        <w:pStyle w:val="ListParagraph"/>
        <w:ind w:left="0" w:firstLine="720"/>
        <w:rPr>
          <w:b/>
        </w:rPr>
      </w:pPr>
      <w:r w:rsidRPr="0030693D">
        <w:rPr>
          <w:b/>
        </w:rPr>
        <w:t>Onkologiniai susirgimai</w:t>
      </w:r>
    </w:p>
    <w:p w:rsidR="0030693D" w:rsidRPr="00AA54E5" w:rsidRDefault="0030693D" w:rsidP="00A241E3">
      <w:pPr>
        <w:pStyle w:val="ListParagraph"/>
        <w:ind w:left="0" w:firstLine="720"/>
        <w:rPr>
          <w:b/>
          <w:sz w:val="28"/>
          <w:szCs w:val="28"/>
        </w:rPr>
      </w:pPr>
    </w:p>
    <w:p w:rsidR="00A241E3" w:rsidRPr="00AA54E5" w:rsidRDefault="00A241E3" w:rsidP="0030693D">
      <w:pPr>
        <w:jc w:val="both"/>
      </w:pPr>
      <w:r w:rsidRPr="00AA54E5">
        <w:tab/>
        <w:t>PSO duomenimis, apie 30 – 50 proc. visų piktybinių navikų galima išvengti vykdant vėžio profilaktiką, tad reiktų:</w:t>
      </w:r>
    </w:p>
    <w:p w:rsidR="00A241E3" w:rsidRPr="00AA54E5" w:rsidRDefault="00306554" w:rsidP="00306554">
      <w:pPr>
        <w:spacing w:after="0"/>
        <w:jc w:val="both"/>
        <w:rPr>
          <w:szCs w:val="24"/>
          <w:u w:val="single"/>
          <w:lang w:val="lt-LT"/>
        </w:rPr>
      </w:pPr>
      <w:r>
        <w:rPr>
          <w:szCs w:val="24"/>
          <w:u w:val="single"/>
          <w:lang w:val="lt-LT"/>
        </w:rPr>
        <w:t>Rekomendacijos:</w:t>
      </w:r>
    </w:p>
    <w:p w:rsidR="00A241E3" w:rsidRPr="00AA54E5" w:rsidRDefault="00A241E3" w:rsidP="00306554">
      <w:pPr>
        <w:pStyle w:val="ListParagraph"/>
        <w:numPr>
          <w:ilvl w:val="0"/>
          <w:numId w:val="6"/>
        </w:numPr>
        <w:jc w:val="both"/>
      </w:pPr>
      <w:r w:rsidRPr="00AA54E5">
        <w:t>Šviesti visuomenę (didinti gyventojų žinių apie sveikatą lygį);</w:t>
      </w:r>
    </w:p>
    <w:p w:rsidR="00A241E3" w:rsidRPr="00AA54E5" w:rsidRDefault="00A241E3" w:rsidP="00306554">
      <w:pPr>
        <w:pStyle w:val="ListParagraph"/>
        <w:numPr>
          <w:ilvl w:val="0"/>
          <w:numId w:val="6"/>
        </w:numPr>
        <w:jc w:val="both"/>
      </w:pPr>
      <w:r w:rsidRPr="00AA54E5">
        <w:t>Mažinti vėžio rizikos veiksnius ugdant sveiką visuomenę, propaguojant sveiką gyvenseną, kalbant apie rūkymo žalą, taisyklingą mitybą, kenksmingus profesinius rizikos veiksnius, nes gyvensena ir aplinkos veiksniai (žalingi įpročiai, profesiniai veiksniai, aplinkos tarša cheminėmis medžiagomis, jonizuojančioji spinduliuotė ir kita) taip pat skatina atsirasti navikus;</w:t>
      </w:r>
    </w:p>
    <w:p w:rsidR="00A241E3" w:rsidRPr="00AA54E5" w:rsidRDefault="00A241E3" w:rsidP="00306554">
      <w:pPr>
        <w:pStyle w:val="ListParagraph"/>
        <w:numPr>
          <w:ilvl w:val="0"/>
          <w:numId w:val="6"/>
        </w:numPr>
        <w:jc w:val="both"/>
      </w:pPr>
      <w:r w:rsidRPr="00AA54E5">
        <w:t>Skleisti onkologijos žinias ne tik medicinos darbuotojams, bet ir gyventojams;</w:t>
      </w:r>
    </w:p>
    <w:p w:rsidR="00A241E3" w:rsidRPr="00AA54E5" w:rsidRDefault="00A241E3" w:rsidP="00306554">
      <w:pPr>
        <w:pStyle w:val="ListParagraph"/>
        <w:numPr>
          <w:ilvl w:val="0"/>
          <w:numId w:val="6"/>
        </w:numPr>
        <w:jc w:val="both"/>
      </w:pPr>
      <w:r w:rsidRPr="00AA54E5">
        <w:t>Vykdyti pirminę profilaktiką – organizuoti renginius, bendradarbiaujant su visuomenės informavimo priemonėmis, rengti leidinius, radijo ir televizijos laidas;</w:t>
      </w:r>
    </w:p>
    <w:p w:rsidR="00A241E3" w:rsidRPr="00AA54E5" w:rsidRDefault="00A241E3" w:rsidP="00306554">
      <w:pPr>
        <w:pStyle w:val="ListParagraph"/>
        <w:numPr>
          <w:ilvl w:val="0"/>
          <w:numId w:val="6"/>
        </w:numPr>
        <w:jc w:val="both"/>
      </w:pPr>
      <w:r w:rsidRPr="00AA54E5">
        <w:t>Gerinti žmonių informuotumą apie valstybines patikrų programas, siekiant diagnozuoti piktybinius navikus ankstyvose stadijose.</w:t>
      </w:r>
    </w:p>
    <w:p w:rsidR="00A241E3" w:rsidRPr="00364937" w:rsidRDefault="00A241E3" w:rsidP="00A241E3">
      <w:pPr>
        <w:spacing w:after="0"/>
        <w:jc w:val="both"/>
        <w:rPr>
          <w:szCs w:val="24"/>
          <w:lang w:val="lt-LT"/>
        </w:rPr>
      </w:pPr>
    </w:p>
    <w:p w:rsidR="00A241E3" w:rsidRPr="0030693D" w:rsidRDefault="00A241E3" w:rsidP="00A241E3">
      <w:pPr>
        <w:pStyle w:val="NoSpacing"/>
        <w:ind w:left="720"/>
        <w:rPr>
          <w:rFonts w:cs="Times New Roman"/>
          <w:b/>
          <w:szCs w:val="24"/>
          <w:lang w:val="lt-LT"/>
        </w:rPr>
      </w:pPr>
      <w:r w:rsidRPr="0030693D">
        <w:rPr>
          <w:rFonts w:cs="Times New Roman"/>
          <w:b/>
          <w:szCs w:val="24"/>
          <w:lang w:val="lt-LT"/>
        </w:rPr>
        <w:lastRenderedPageBreak/>
        <w:t>Traumatizmas</w:t>
      </w:r>
    </w:p>
    <w:p w:rsidR="00A241E3" w:rsidRPr="00AA54E5" w:rsidRDefault="00A241E3" w:rsidP="00A241E3">
      <w:pPr>
        <w:spacing w:after="0"/>
        <w:ind w:right="-437"/>
        <w:rPr>
          <w:szCs w:val="24"/>
          <w:lang w:val="lt-LT"/>
        </w:rPr>
      </w:pPr>
    </w:p>
    <w:p w:rsidR="00A241E3" w:rsidRPr="00AA54E5" w:rsidRDefault="00A241E3" w:rsidP="00306554">
      <w:pPr>
        <w:spacing w:after="0"/>
        <w:ind w:right="-93" w:firstLine="720"/>
        <w:jc w:val="both"/>
        <w:rPr>
          <w:szCs w:val="24"/>
        </w:rPr>
      </w:pPr>
      <w:r w:rsidRPr="00AA54E5">
        <w:rPr>
          <w:szCs w:val="24"/>
        </w:rPr>
        <w:t xml:space="preserve">Asmenų skaičius,  kuriems buvo užregistruota trauma ar kita išorinė priežastis (apsinuodijimas, nudegimas ar kt.) nuo 2008 m. Vilniaus </w:t>
      </w:r>
      <w:r w:rsidR="002312F6">
        <w:rPr>
          <w:szCs w:val="24"/>
        </w:rPr>
        <w:t>r.</w:t>
      </w:r>
      <w:r w:rsidRPr="00AA54E5">
        <w:rPr>
          <w:szCs w:val="24"/>
        </w:rPr>
        <w:t xml:space="preserve"> pradėjo ma</w:t>
      </w:r>
      <w:r w:rsidRPr="00AA54E5">
        <w:rPr>
          <w:szCs w:val="24"/>
          <w:lang w:val="lt-LT"/>
        </w:rPr>
        <w:t xml:space="preserve">žėti , nors  2010 m. </w:t>
      </w:r>
      <w:r w:rsidR="002312F6">
        <w:rPr>
          <w:szCs w:val="24"/>
          <w:lang w:val="lt-LT"/>
        </w:rPr>
        <w:t xml:space="preserve">buvo didesnis nei </w:t>
      </w:r>
      <w:r w:rsidRPr="00AA54E5">
        <w:rPr>
          <w:szCs w:val="24"/>
          <w:lang w:val="lt-LT"/>
        </w:rPr>
        <w:t>Lietuvo</w:t>
      </w:r>
      <w:r w:rsidR="002312F6">
        <w:rPr>
          <w:szCs w:val="24"/>
          <w:lang w:val="lt-LT"/>
        </w:rPr>
        <w:t>s</w:t>
      </w:r>
      <w:r w:rsidRPr="00AA54E5">
        <w:rPr>
          <w:szCs w:val="24"/>
          <w:lang w:val="lt-LT"/>
        </w:rPr>
        <w:t xml:space="preserve"> </w:t>
      </w:r>
      <w:r w:rsidR="002312F6">
        <w:rPr>
          <w:szCs w:val="24"/>
          <w:lang w:val="lt-LT"/>
        </w:rPr>
        <w:t>vidurkis</w:t>
      </w:r>
      <w:r w:rsidRPr="00AA54E5">
        <w:rPr>
          <w:szCs w:val="24"/>
          <w:lang w:val="lt-LT"/>
        </w:rPr>
        <w:t>.</w:t>
      </w:r>
    </w:p>
    <w:p w:rsidR="00A241E3" w:rsidRPr="00AA54E5" w:rsidRDefault="00A241E3" w:rsidP="0030693D">
      <w:pPr>
        <w:spacing w:after="0"/>
        <w:ind w:right="-93" w:firstLine="567"/>
        <w:jc w:val="both"/>
        <w:rPr>
          <w:szCs w:val="24"/>
        </w:rPr>
      </w:pPr>
    </w:p>
    <w:p w:rsidR="00A241E3" w:rsidRPr="00AA54E5" w:rsidRDefault="00A241E3" w:rsidP="0030693D">
      <w:pPr>
        <w:spacing w:after="0"/>
        <w:ind w:right="-93"/>
        <w:jc w:val="both"/>
        <w:rPr>
          <w:szCs w:val="24"/>
          <w:u w:val="single"/>
        </w:rPr>
      </w:pPr>
      <w:r w:rsidRPr="00AA54E5">
        <w:rPr>
          <w:szCs w:val="24"/>
          <w:u w:val="single"/>
        </w:rPr>
        <w:t>Rekomendacijos:</w:t>
      </w:r>
    </w:p>
    <w:p w:rsidR="00A241E3" w:rsidRPr="00AA54E5" w:rsidRDefault="00A241E3" w:rsidP="00306554">
      <w:pPr>
        <w:spacing w:after="0"/>
        <w:ind w:right="-91"/>
        <w:jc w:val="both"/>
        <w:rPr>
          <w:b/>
          <w:szCs w:val="24"/>
        </w:rPr>
      </w:pPr>
      <w:r w:rsidRPr="00AA54E5">
        <w:rPr>
          <w:b/>
          <w:szCs w:val="24"/>
        </w:rPr>
        <w:t>Saugaus eismo prevencijos priemonės:</w:t>
      </w:r>
    </w:p>
    <w:p w:rsidR="00A241E3" w:rsidRPr="00AA54E5" w:rsidRDefault="00A241E3" w:rsidP="00306554">
      <w:pPr>
        <w:pStyle w:val="ListParagraph"/>
        <w:numPr>
          <w:ilvl w:val="0"/>
          <w:numId w:val="7"/>
        </w:numPr>
        <w:ind w:left="709" w:right="-91"/>
        <w:jc w:val="both"/>
      </w:pPr>
      <w:r w:rsidRPr="00AA54E5">
        <w:t>užtikrinti eismo dalyvių švietimą saugaus eismo srityje: leidiniai, akcijos, mokymai, socialinė reklama;</w:t>
      </w:r>
    </w:p>
    <w:p w:rsidR="00A241E3" w:rsidRPr="00AA54E5" w:rsidRDefault="00A241E3" w:rsidP="00306554">
      <w:pPr>
        <w:pStyle w:val="ListParagraph"/>
        <w:numPr>
          <w:ilvl w:val="0"/>
          <w:numId w:val="7"/>
        </w:numPr>
        <w:ind w:left="709" w:right="-91"/>
        <w:jc w:val="both"/>
      </w:pPr>
      <w:r w:rsidRPr="00AA54E5">
        <w:t>organizuoti eismo dalyvių kontrolę: greičio, neblaivių asmenų, saugos priemonių naudojimo automobilyje, šviesos atšvaitų naudojimo pėstiesiems.</w:t>
      </w:r>
    </w:p>
    <w:p w:rsidR="00A241E3" w:rsidRPr="00AA54E5" w:rsidRDefault="00A241E3" w:rsidP="00306554">
      <w:pPr>
        <w:spacing w:after="0"/>
        <w:ind w:left="927" w:right="-91"/>
        <w:jc w:val="both"/>
        <w:rPr>
          <w:szCs w:val="24"/>
        </w:rPr>
      </w:pPr>
    </w:p>
    <w:p w:rsidR="00A241E3" w:rsidRPr="00AA54E5" w:rsidRDefault="00A241E3" w:rsidP="00306554">
      <w:pPr>
        <w:spacing w:after="0"/>
        <w:ind w:right="-91"/>
        <w:jc w:val="both"/>
        <w:rPr>
          <w:b/>
          <w:szCs w:val="24"/>
        </w:rPr>
      </w:pPr>
      <w:r w:rsidRPr="00AA54E5">
        <w:rPr>
          <w:b/>
          <w:szCs w:val="24"/>
        </w:rPr>
        <w:t>Alkoholio vartojimo mažinimas:</w:t>
      </w:r>
    </w:p>
    <w:p w:rsidR="00A241E3" w:rsidRPr="00AA54E5" w:rsidRDefault="00A241E3" w:rsidP="00306554">
      <w:pPr>
        <w:pStyle w:val="ListParagraph"/>
        <w:numPr>
          <w:ilvl w:val="0"/>
          <w:numId w:val="8"/>
        </w:numPr>
        <w:ind w:right="-91"/>
        <w:jc w:val="both"/>
      </w:pPr>
      <w:r w:rsidRPr="00AA54E5">
        <w:t>Švietimas alkoholio prevencine tema: leidiniai, akcijos, mokymai, socialinė reklama;</w:t>
      </w:r>
    </w:p>
    <w:p w:rsidR="00A241E3" w:rsidRPr="00AA54E5" w:rsidRDefault="00A241E3" w:rsidP="00306554">
      <w:pPr>
        <w:pStyle w:val="ListParagraph"/>
        <w:numPr>
          <w:ilvl w:val="0"/>
          <w:numId w:val="8"/>
        </w:numPr>
        <w:ind w:right="-91"/>
        <w:jc w:val="both"/>
      </w:pPr>
      <w:r w:rsidRPr="00AA54E5">
        <w:t>Mažinti alkoholio pardavimo vietų skaičių (parduotuvės daugiabučiuose namuose, kioskeliai);</w:t>
      </w:r>
    </w:p>
    <w:p w:rsidR="00A241E3" w:rsidRPr="00AA54E5" w:rsidRDefault="00A241E3" w:rsidP="00306554">
      <w:pPr>
        <w:pStyle w:val="ListParagraph"/>
        <w:numPr>
          <w:ilvl w:val="0"/>
          <w:numId w:val="8"/>
        </w:numPr>
        <w:ind w:right="-91"/>
        <w:jc w:val="both"/>
      </w:pPr>
      <w:r w:rsidRPr="00AA54E5">
        <w:t xml:space="preserve">Pardavėjams kontroliuoti perkančių asmenų amžių; </w:t>
      </w:r>
    </w:p>
    <w:p w:rsidR="00A241E3" w:rsidRPr="00AA54E5" w:rsidRDefault="00A241E3" w:rsidP="00306554">
      <w:pPr>
        <w:pStyle w:val="ListParagraph"/>
        <w:numPr>
          <w:ilvl w:val="0"/>
          <w:numId w:val="8"/>
        </w:numPr>
        <w:ind w:right="-91"/>
        <w:jc w:val="both"/>
      </w:pPr>
      <w:r w:rsidRPr="00AA54E5">
        <w:t>Drausti išsinešti alkoholį iš viešo maitinimo įstaigų “barų” po 22 h.;</w:t>
      </w:r>
    </w:p>
    <w:p w:rsidR="00A241E3" w:rsidRPr="00AA54E5" w:rsidRDefault="00A241E3" w:rsidP="00A241E3">
      <w:pPr>
        <w:pStyle w:val="ListParagraph"/>
        <w:jc w:val="both"/>
        <w:rPr>
          <w:lang w:val="lt-LT"/>
        </w:rPr>
      </w:pPr>
    </w:p>
    <w:p w:rsidR="00A241E3" w:rsidRPr="0030693D" w:rsidRDefault="002312F6" w:rsidP="00306554">
      <w:pPr>
        <w:ind w:firstLine="720"/>
        <w:rPr>
          <w:b/>
          <w:szCs w:val="24"/>
        </w:rPr>
      </w:pPr>
      <w:r w:rsidRPr="0030693D">
        <w:rPr>
          <w:b/>
          <w:szCs w:val="24"/>
        </w:rPr>
        <w:t>Kvėpavimo takų infekcijos</w:t>
      </w:r>
    </w:p>
    <w:p w:rsidR="002312F6" w:rsidRPr="00306554" w:rsidRDefault="002312F6" w:rsidP="00306554">
      <w:pPr>
        <w:spacing w:after="0"/>
        <w:rPr>
          <w:szCs w:val="24"/>
          <w:u w:val="single"/>
        </w:rPr>
      </w:pPr>
      <w:r w:rsidRPr="00306554">
        <w:rPr>
          <w:szCs w:val="24"/>
          <w:u w:val="single"/>
        </w:rPr>
        <w:t>Rekomendacijos:</w:t>
      </w:r>
    </w:p>
    <w:p w:rsidR="00A241E3" w:rsidRPr="00AA54E5" w:rsidRDefault="00A241E3" w:rsidP="00306554">
      <w:pPr>
        <w:pStyle w:val="ListParagraph"/>
        <w:numPr>
          <w:ilvl w:val="0"/>
          <w:numId w:val="6"/>
        </w:numPr>
        <w:jc w:val="both"/>
      </w:pPr>
      <w:r w:rsidRPr="00AA54E5">
        <w:t>Kadangi vaikų kvėpavimo takų infekcijos yra didelė problema tiek išsivysčiusiose, tiek besivystančiose šalyse, o galimybės nustatyti tikslią besikartojančių kvėpavimo takų infekcijų diagnozę ir skirti patogenezinį gydymą yra ribotas, reikia efektyvių profilaktikos priemonių (svarbiausios jų – tėvų švietimas bei aktyvi imunizacija).</w:t>
      </w:r>
    </w:p>
    <w:p w:rsidR="00A241E3" w:rsidRPr="00AA54E5" w:rsidRDefault="004D0939" w:rsidP="00306554">
      <w:pPr>
        <w:spacing w:after="0"/>
        <w:ind w:left="720"/>
        <w:rPr>
          <w:b/>
        </w:rPr>
      </w:pPr>
      <w:r>
        <w:rPr>
          <w:b/>
        </w:rPr>
        <w:br/>
      </w:r>
      <w:r w:rsidR="00A241E3" w:rsidRPr="00AA54E5">
        <w:rPr>
          <w:b/>
        </w:rPr>
        <w:t>Gripas:</w:t>
      </w:r>
    </w:p>
    <w:p w:rsidR="00A241E3" w:rsidRPr="00AA54E5" w:rsidRDefault="00A241E3" w:rsidP="00306554">
      <w:pPr>
        <w:pStyle w:val="ListParagraph"/>
        <w:numPr>
          <w:ilvl w:val="0"/>
          <w:numId w:val="6"/>
        </w:numPr>
      </w:pPr>
      <w:r w:rsidRPr="00AA54E5">
        <w:t>efektyviausia gripo profilaktikos ir kontrolės priemonė – vakcinacija;</w:t>
      </w:r>
    </w:p>
    <w:p w:rsidR="00A241E3" w:rsidRDefault="00A241E3" w:rsidP="00306554">
      <w:pPr>
        <w:pStyle w:val="ListParagraph"/>
        <w:numPr>
          <w:ilvl w:val="0"/>
          <w:numId w:val="6"/>
        </w:numPr>
      </w:pPr>
      <w:r w:rsidRPr="00AA54E5">
        <w:t xml:space="preserve">žmonių švietimas apie vakcinacijos svarbą, rankų higieną ir kitas gripo profilaktines priemones. </w:t>
      </w:r>
    </w:p>
    <w:p w:rsidR="00306554" w:rsidRPr="00AA54E5" w:rsidRDefault="00306554" w:rsidP="00306554">
      <w:pPr>
        <w:pStyle w:val="ListParagraph"/>
      </w:pPr>
    </w:p>
    <w:p w:rsidR="00A241E3" w:rsidRPr="00AA54E5" w:rsidRDefault="00A241E3" w:rsidP="00306554">
      <w:pPr>
        <w:tabs>
          <w:tab w:val="left" w:pos="709"/>
        </w:tabs>
        <w:spacing w:after="0"/>
        <w:rPr>
          <w:b/>
          <w:szCs w:val="24"/>
          <w:lang w:val="lt-LT"/>
        </w:rPr>
      </w:pPr>
      <w:r w:rsidRPr="00AA54E5">
        <w:rPr>
          <w:szCs w:val="24"/>
          <w:lang w:val="lt-LT"/>
        </w:rPr>
        <w:tab/>
      </w:r>
      <w:r w:rsidRPr="00AA54E5">
        <w:rPr>
          <w:b/>
          <w:szCs w:val="24"/>
          <w:lang w:val="lt-LT"/>
        </w:rPr>
        <w:t>Tuberkuliozė:</w:t>
      </w:r>
    </w:p>
    <w:p w:rsidR="00A241E3" w:rsidRPr="00AA54E5" w:rsidRDefault="00A241E3" w:rsidP="00306554">
      <w:pPr>
        <w:pStyle w:val="ListParagraph"/>
        <w:numPr>
          <w:ilvl w:val="0"/>
          <w:numId w:val="6"/>
        </w:numPr>
      </w:pPr>
      <w:r w:rsidRPr="00AA54E5">
        <w:t>Vykdyti TB profilaktiką, informuoti gyventojus apie tuberkuliozės epidemiologinę būklę ir apsisaugojimo nuo jos būdus.</w:t>
      </w:r>
    </w:p>
    <w:p w:rsidR="004D0939" w:rsidRDefault="004D0939" w:rsidP="0030693D">
      <w:pPr>
        <w:rPr>
          <w:b/>
          <w:sz w:val="28"/>
          <w:szCs w:val="28"/>
        </w:rPr>
      </w:pPr>
    </w:p>
    <w:p w:rsidR="00A241E3" w:rsidRDefault="00A241E3" w:rsidP="00306554">
      <w:pPr>
        <w:spacing w:after="0"/>
        <w:ind w:firstLine="720"/>
        <w:rPr>
          <w:b/>
          <w:szCs w:val="24"/>
        </w:rPr>
      </w:pPr>
      <w:r w:rsidRPr="0030693D">
        <w:rPr>
          <w:b/>
          <w:szCs w:val="24"/>
        </w:rPr>
        <w:t>ŽIV/AIDS ir Lytiškai plintančios infekcijos</w:t>
      </w:r>
    </w:p>
    <w:p w:rsidR="00306554" w:rsidRPr="0030693D" w:rsidRDefault="00306554" w:rsidP="00306554">
      <w:pPr>
        <w:spacing w:after="0"/>
        <w:ind w:firstLine="720"/>
        <w:rPr>
          <w:b/>
          <w:szCs w:val="24"/>
        </w:rPr>
      </w:pPr>
    </w:p>
    <w:p w:rsidR="00A241E3" w:rsidRPr="00AA54E5" w:rsidRDefault="00A241E3" w:rsidP="00306554">
      <w:pPr>
        <w:pStyle w:val="ListParagraph"/>
        <w:numPr>
          <w:ilvl w:val="0"/>
          <w:numId w:val="6"/>
        </w:numPr>
        <w:jc w:val="both"/>
      </w:pPr>
      <w:r w:rsidRPr="00AA54E5">
        <w:t>Vykdyti nenutrūkstamą ŽIV prevenciją jaunimo tarpe, rengti daugiau tikslinių informacinių kampanijų ir reguliariai atlikti jaunimo elgsenos apklausas;</w:t>
      </w:r>
    </w:p>
    <w:p w:rsidR="00A241E3" w:rsidRPr="00AA54E5" w:rsidRDefault="00A241E3" w:rsidP="00306554">
      <w:pPr>
        <w:pStyle w:val="ListParagraph"/>
        <w:numPr>
          <w:ilvl w:val="0"/>
          <w:numId w:val="6"/>
        </w:numPr>
        <w:jc w:val="both"/>
      </w:pPr>
      <w:r w:rsidRPr="00AA54E5">
        <w:t>Gerinti visuomenės informuotumą, ypač jaunimą, ir didelės rizikos užsikrėsti ŽIV ir LPI grupes apie ŽIV/AIDS ir LPI profilaktiką, ugdyti socialinę toleranciją asmenims, gyvenantiems su ŽIV;</w:t>
      </w:r>
    </w:p>
    <w:p w:rsidR="00A241E3" w:rsidRPr="00AA54E5" w:rsidRDefault="00A241E3" w:rsidP="00306554">
      <w:pPr>
        <w:pStyle w:val="ListParagraph"/>
        <w:numPr>
          <w:ilvl w:val="0"/>
          <w:numId w:val="6"/>
        </w:numPr>
        <w:jc w:val="both"/>
      </w:pPr>
      <w:r w:rsidRPr="00AA54E5">
        <w:t>Gerinti sveikatos ir kitų sektorių specialistų žinias ir kompetenciją ŽIV/AIDS ir LPI prevencijos klausimais;</w:t>
      </w:r>
    </w:p>
    <w:p w:rsidR="00A241E3" w:rsidRPr="00AA54E5" w:rsidRDefault="00A241E3" w:rsidP="00306554">
      <w:pPr>
        <w:pStyle w:val="ListParagraph"/>
        <w:numPr>
          <w:ilvl w:val="0"/>
          <w:numId w:val="6"/>
        </w:numPr>
        <w:jc w:val="both"/>
      </w:pPr>
      <w:r w:rsidRPr="00AA54E5">
        <w:t>Informavimas, švietimas ir konsultavimas, propaguojant atsakingą lytinę elgseną ir veiksmingą LPI, ŽIV prevenciją;</w:t>
      </w:r>
    </w:p>
    <w:p w:rsidR="00A241E3" w:rsidRPr="00AA54E5" w:rsidRDefault="00A241E3" w:rsidP="00306554">
      <w:pPr>
        <w:pStyle w:val="ListParagraph"/>
        <w:numPr>
          <w:ilvl w:val="0"/>
          <w:numId w:val="6"/>
        </w:numPr>
        <w:jc w:val="both"/>
      </w:pPr>
      <w:r w:rsidRPr="00AA54E5">
        <w:lastRenderedPageBreak/>
        <w:t xml:space="preserve">Rengti mokytojus kalbėti apie lytinę – reprodukcinę sveikatą, apie lyčių klausimus bei lytiškai plintančias infekcijas. </w:t>
      </w:r>
    </w:p>
    <w:p w:rsidR="00A241E3" w:rsidRDefault="00A241E3" w:rsidP="00306554">
      <w:pPr>
        <w:pStyle w:val="ListParagraph"/>
        <w:numPr>
          <w:ilvl w:val="0"/>
          <w:numId w:val="6"/>
        </w:numPr>
        <w:jc w:val="both"/>
      </w:pPr>
      <w:r w:rsidRPr="00AA54E5">
        <w:t>Kadangi daugelis vyresnio mokyklinio amžiaus jaunuolių dažnai nepatenkinti informacija, gaunama mokyklose lytinės – reprodukcinės sveikatos klausimais, todėl būtina atkreipti dėmesį į lytinio švietimo svarbą mokyklose ir sekti Vakarų šalių pavyzdžiu: skiriant daugiau dėmesio reprodukcinei sveikatai Nacionalinėje visuomenės sveikatos strategijoje; planuojant ir diegiant pažangias lytinės reprodukcinės sveikatos ir lyčių mokymo programas mokyklose apimant visas amžiaus grupes (Vakarų šalių patirtis rodo, jog integruotos, bendradarbiavimu tarp institucijų pagrįstos profilaktinės programos gali būti veiksmingos mažinant ankstyvosios ir nesaugios lytinės elgsenos pasekmių paplitimą); formuojant supratimą ir atsakomybę ne tik dėl savo, bet ir dėl kito asmens sveikatos, daugiau dėmesio skiriant informacinėms kampanijoms bei ligų prevencijai; stiprinant tėvų vaidmenį, įtraukiant juos į prevencinę veiklą, suteikiant žinių apie lytinio ugdymo ypatumus; plačiau nušviečiant lytinio gyvenimo pasekmes tiek medicininiu, tiek ir doroviniu aspektu.</w:t>
      </w:r>
    </w:p>
    <w:p w:rsidR="00306554" w:rsidRPr="00AA54E5" w:rsidRDefault="00306554" w:rsidP="00306554">
      <w:pPr>
        <w:jc w:val="both"/>
      </w:pPr>
    </w:p>
    <w:p w:rsidR="00A241E3" w:rsidRDefault="00A241E3" w:rsidP="004D0939">
      <w:pPr>
        <w:spacing w:after="0"/>
        <w:ind w:firstLine="567"/>
        <w:jc w:val="both"/>
        <w:rPr>
          <w:b/>
          <w:szCs w:val="24"/>
          <w:lang w:val="lt-LT"/>
        </w:rPr>
      </w:pPr>
      <w:r>
        <w:rPr>
          <w:b/>
          <w:szCs w:val="24"/>
          <w:lang w:val="lt-LT"/>
        </w:rPr>
        <w:t>Ūminės žarnyno infekcijos (ŪŽI)</w:t>
      </w:r>
    </w:p>
    <w:p w:rsidR="00A241E3" w:rsidRDefault="00A241E3" w:rsidP="00A241E3">
      <w:pPr>
        <w:spacing w:after="0"/>
        <w:ind w:firstLine="567"/>
        <w:jc w:val="both"/>
        <w:rPr>
          <w:szCs w:val="24"/>
        </w:rPr>
      </w:pPr>
    </w:p>
    <w:p w:rsidR="00A241E3" w:rsidRPr="00393311" w:rsidRDefault="00A241E3" w:rsidP="00A241E3">
      <w:pPr>
        <w:spacing w:after="0"/>
        <w:ind w:firstLine="567"/>
        <w:jc w:val="both"/>
        <w:rPr>
          <w:b/>
          <w:szCs w:val="24"/>
          <w:lang w:val="lt-LT"/>
        </w:rPr>
      </w:pPr>
      <w:r w:rsidRPr="00393311">
        <w:rPr>
          <w:szCs w:val="24"/>
        </w:rPr>
        <w:t xml:space="preserve">Nepaisant maisto gamybos technologijų tobulinimo, tiekiamo geriamojo vandens kokybės gerinimo, didesnio visuomenės higieninio išprusimo, </w:t>
      </w:r>
      <w:r>
        <w:rPr>
          <w:szCs w:val="24"/>
        </w:rPr>
        <w:t>ūminių žarnyno infekcijų</w:t>
      </w:r>
      <w:r w:rsidRPr="00393311">
        <w:rPr>
          <w:szCs w:val="24"/>
        </w:rPr>
        <w:t xml:space="preserve"> problema </w:t>
      </w:r>
      <w:r>
        <w:rPr>
          <w:szCs w:val="24"/>
        </w:rPr>
        <w:t xml:space="preserve">tiek </w:t>
      </w:r>
      <w:r w:rsidRPr="00393311">
        <w:rPr>
          <w:szCs w:val="24"/>
        </w:rPr>
        <w:t>Lietuvoje</w:t>
      </w:r>
      <w:r>
        <w:rPr>
          <w:szCs w:val="24"/>
        </w:rPr>
        <w:t>, tiek ir Vilniaus rajone</w:t>
      </w:r>
      <w:r w:rsidRPr="00393311">
        <w:rPr>
          <w:szCs w:val="24"/>
        </w:rPr>
        <w:t xml:space="preserve"> išlieka aktuali.</w:t>
      </w:r>
    </w:p>
    <w:p w:rsidR="00A241E3" w:rsidRDefault="00A241E3" w:rsidP="00A241E3">
      <w:pPr>
        <w:spacing w:after="0"/>
        <w:ind w:firstLine="567"/>
        <w:jc w:val="both"/>
        <w:rPr>
          <w:b/>
          <w:szCs w:val="24"/>
          <w:lang w:val="lt-LT"/>
        </w:rPr>
      </w:pPr>
    </w:p>
    <w:p w:rsidR="00A241E3" w:rsidRDefault="00A241E3" w:rsidP="00A241E3">
      <w:pPr>
        <w:spacing w:after="0"/>
        <w:jc w:val="both"/>
        <w:rPr>
          <w:szCs w:val="24"/>
          <w:u w:val="single"/>
          <w:lang w:val="lt-LT"/>
        </w:rPr>
      </w:pPr>
      <w:r w:rsidRPr="008E32FC">
        <w:rPr>
          <w:szCs w:val="24"/>
          <w:u w:val="single"/>
          <w:lang w:val="lt-LT"/>
        </w:rPr>
        <w:t>Rekomendacijos:</w:t>
      </w:r>
    </w:p>
    <w:p w:rsidR="00A241E3" w:rsidRPr="0049585D" w:rsidRDefault="00A241E3" w:rsidP="00A241E3">
      <w:pPr>
        <w:pStyle w:val="ListParagraph"/>
        <w:numPr>
          <w:ilvl w:val="0"/>
          <w:numId w:val="10"/>
        </w:numPr>
        <w:jc w:val="both"/>
        <w:rPr>
          <w:lang w:val="lt-LT"/>
        </w:rPr>
      </w:pPr>
      <w:r>
        <w:rPr>
          <w:lang w:val="lt-LT"/>
        </w:rPr>
        <w:t>Sugriežtinti maisto gaminimo</w:t>
      </w:r>
      <w:r w:rsidRPr="0049585D">
        <w:rPr>
          <w:lang w:val="lt-LT"/>
        </w:rPr>
        <w:t xml:space="preserve"> kontrolę maisto gamybos įmonėse</w:t>
      </w:r>
      <w:r>
        <w:rPr>
          <w:lang w:val="lt-LT"/>
        </w:rPr>
        <w:t xml:space="preserve"> (tikrinti darbuotojų kvalifikaciją, maisto kokybę ir patalpų bei maisto tvarkymo inventoriaus atitikimą juos reglamentuojančioms higienos normoms)</w:t>
      </w:r>
      <w:r w:rsidRPr="0049585D">
        <w:rPr>
          <w:lang w:val="lt-LT"/>
        </w:rPr>
        <w:t>;</w:t>
      </w:r>
    </w:p>
    <w:p w:rsidR="00A241E3" w:rsidRDefault="00A241E3" w:rsidP="00A241E3">
      <w:pPr>
        <w:pStyle w:val="ListParagraph"/>
        <w:numPr>
          <w:ilvl w:val="0"/>
          <w:numId w:val="10"/>
        </w:numPr>
        <w:jc w:val="both"/>
        <w:rPr>
          <w:lang w:val="lt-LT"/>
        </w:rPr>
      </w:pPr>
      <w:r w:rsidRPr="0049585D">
        <w:rPr>
          <w:lang w:val="lt-LT"/>
        </w:rPr>
        <w:t xml:space="preserve">Didinti Vilniaus </w:t>
      </w:r>
      <w:r>
        <w:rPr>
          <w:lang w:val="lt-LT"/>
        </w:rPr>
        <w:t>rajono</w:t>
      </w:r>
      <w:r w:rsidRPr="0049585D">
        <w:rPr>
          <w:lang w:val="lt-LT"/>
        </w:rPr>
        <w:t xml:space="preserve"> gyventojų informuotumą apie </w:t>
      </w:r>
      <w:r>
        <w:rPr>
          <w:lang w:val="lt-LT"/>
        </w:rPr>
        <w:t>ūmines žarnyno</w:t>
      </w:r>
      <w:r w:rsidRPr="0049585D">
        <w:rPr>
          <w:lang w:val="lt-LT"/>
        </w:rPr>
        <w:t xml:space="preserve"> infekcijas, jų perdavimo kelius</w:t>
      </w:r>
      <w:r>
        <w:rPr>
          <w:lang w:val="lt-LT"/>
        </w:rPr>
        <w:t>;</w:t>
      </w:r>
    </w:p>
    <w:p w:rsidR="00A241E3" w:rsidRPr="0049585D" w:rsidRDefault="00A241E3" w:rsidP="00A241E3">
      <w:pPr>
        <w:pStyle w:val="ListParagraph"/>
        <w:numPr>
          <w:ilvl w:val="0"/>
          <w:numId w:val="10"/>
        </w:numPr>
        <w:jc w:val="both"/>
        <w:rPr>
          <w:lang w:val="lt-LT"/>
        </w:rPr>
      </w:pPr>
      <w:r>
        <w:rPr>
          <w:lang w:val="lt-LT"/>
        </w:rPr>
        <w:t>M</w:t>
      </w:r>
      <w:r w:rsidRPr="0049585D">
        <w:rPr>
          <w:lang w:val="lt-LT"/>
        </w:rPr>
        <w:t xml:space="preserve">okyti </w:t>
      </w:r>
      <w:r>
        <w:rPr>
          <w:lang w:val="lt-LT"/>
        </w:rPr>
        <w:t xml:space="preserve">gyventojus maisto laikymo namuose ir jo gaminimo taisyklių bei </w:t>
      </w:r>
      <w:r w:rsidRPr="0049585D">
        <w:rPr>
          <w:lang w:val="lt-LT"/>
        </w:rPr>
        <w:t>higienos įgūdžių;</w:t>
      </w:r>
    </w:p>
    <w:p w:rsidR="00A241E3" w:rsidRPr="00C14650" w:rsidRDefault="00A241E3" w:rsidP="00A241E3">
      <w:pPr>
        <w:pStyle w:val="ListParagraph"/>
        <w:numPr>
          <w:ilvl w:val="0"/>
          <w:numId w:val="10"/>
        </w:numPr>
        <w:jc w:val="both"/>
        <w:rPr>
          <w:lang w:val="lt-LT"/>
        </w:rPr>
      </w:pPr>
      <w:r>
        <w:rPr>
          <w:lang w:val="lt-LT"/>
        </w:rPr>
        <w:t>Organizuoti švietimo priemones (mokymus, renginius, akcijas,</w:t>
      </w:r>
      <w:r w:rsidRPr="00F84E0D">
        <w:rPr>
          <w:lang w:val="lt-LT"/>
        </w:rPr>
        <w:t xml:space="preserve"> </w:t>
      </w:r>
      <w:r>
        <w:rPr>
          <w:lang w:val="lt-LT"/>
        </w:rPr>
        <w:t>leidinius bei socialines reklamas) šių ligų prevencijos tema;</w:t>
      </w:r>
    </w:p>
    <w:p w:rsidR="00A241E3" w:rsidRPr="0049585D" w:rsidRDefault="00A241E3" w:rsidP="00A241E3">
      <w:pPr>
        <w:pStyle w:val="ListParagraph"/>
        <w:numPr>
          <w:ilvl w:val="0"/>
          <w:numId w:val="10"/>
        </w:numPr>
        <w:jc w:val="both"/>
        <w:rPr>
          <w:lang w:val="lt-LT"/>
        </w:rPr>
      </w:pPr>
      <w:r w:rsidRPr="0049585D">
        <w:rPr>
          <w:lang w:val="lt-LT"/>
        </w:rPr>
        <w:t>Mokyti vaikus ugdymo įstaigose higienos įgūdžių;</w:t>
      </w:r>
    </w:p>
    <w:p w:rsidR="00A241E3" w:rsidRDefault="00A241E3" w:rsidP="00A241E3">
      <w:pPr>
        <w:pStyle w:val="ListParagraph"/>
        <w:numPr>
          <w:ilvl w:val="0"/>
          <w:numId w:val="10"/>
        </w:numPr>
        <w:jc w:val="both"/>
        <w:rPr>
          <w:lang w:val="lt-LT"/>
        </w:rPr>
      </w:pPr>
      <w:r>
        <w:rPr>
          <w:lang w:val="lt-LT"/>
        </w:rPr>
        <w:t>Kelti visuomenės sveikatos priežiūros specialistų, dirbančių Vilniaus rajono ugdymo įstaigose, kvalifikaciją infekcinių susirgimų prevencijos srityje;</w:t>
      </w:r>
    </w:p>
    <w:p w:rsidR="00A241E3" w:rsidRPr="00FC596C" w:rsidRDefault="00A241E3" w:rsidP="0030693D">
      <w:pPr>
        <w:pStyle w:val="ListParagraph"/>
        <w:numPr>
          <w:ilvl w:val="0"/>
          <w:numId w:val="10"/>
        </w:numPr>
        <w:jc w:val="both"/>
        <w:rPr>
          <w:lang w:val="lt-LT"/>
        </w:rPr>
      </w:pPr>
      <w:r>
        <w:rPr>
          <w:lang w:val="lt-LT"/>
        </w:rPr>
        <w:t>Informuoti gyventojus apie antimikrobinių vaistų vartojimo paskirtį (šiais vaistais gydomos tik bakterinės kilmės ligos) ir tvarką (šiuos vaistus gali paskirti tik gydytojas).</w:t>
      </w:r>
    </w:p>
    <w:p w:rsidR="00A241E3" w:rsidRDefault="00A241E3" w:rsidP="0030693D">
      <w:pPr>
        <w:pStyle w:val="NoSpacing"/>
        <w:ind w:left="720"/>
        <w:jc w:val="both"/>
        <w:rPr>
          <w:rFonts w:cs="Times New Roman"/>
          <w:b/>
          <w:sz w:val="28"/>
          <w:szCs w:val="28"/>
        </w:rPr>
      </w:pPr>
    </w:p>
    <w:p w:rsidR="00306554" w:rsidRPr="00AA54E5" w:rsidRDefault="00306554" w:rsidP="0030693D">
      <w:pPr>
        <w:pStyle w:val="NoSpacing"/>
        <w:ind w:left="720"/>
        <w:jc w:val="both"/>
        <w:rPr>
          <w:rFonts w:cs="Times New Roman"/>
          <w:b/>
          <w:sz w:val="28"/>
          <w:szCs w:val="28"/>
        </w:rPr>
      </w:pPr>
    </w:p>
    <w:p w:rsidR="00A241E3" w:rsidRPr="00306554" w:rsidRDefault="00A241E3" w:rsidP="0030693D">
      <w:pPr>
        <w:pStyle w:val="NoSpacing"/>
        <w:ind w:left="720"/>
        <w:jc w:val="both"/>
        <w:rPr>
          <w:rFonts w:cs="Times New Roman"/>
          <w:b/>
          <w:szCs w:val="24"/>
        </w:rPr>
      </w:pPr>
      <w:r w:rsidRPr="00306554">
        <w:rPr>
          <w:rFonts w:cs="Times New Roman"/>
          <w:b/>
          <w:szCs w:val="24"/>
        </w:rPr>
        <w:t>Psichikos ir elgesio sutrikimai</w:t>
      </w:r>
    </w:p>
    <w:p w:rsidR="00A241E3" w:rsidRPr="00AA54E5" w:rsidRDefault="00A241E3" w:rsidP="0030693D">
      <w:pPr>
        <w:pStyle w:val="NoSpacing"/>
        <w:ind w:left="720"/>
        <w:jc w:val="both"/>
        <w:rPr>
          <w:rFonts w:cs="Times New Roman"/>
          <w:b/>
          <w:szCs w:val="24"/>
        </w:rPr>
      </w:pPr>
    </w:p>
    <w:p w:rsidR="001A45D0" w:rsidRDefault="001A45D0" w:rsidP="0030693D">
      <w:pPr>
        <w:pStyle w:val="NoSpacing"/>
        <w:ind w:firstLine="360"/>
        <w:jc w:val="both"/>
        <w:rPr>
          <w:rFonts w:cs="Times New Roman"/>
          <w:szCs w:val="24"/>
        </w:rPr>
      </w:pPr>
      <w:r w:rsidRPr="00C14098">
        <w:rPr>
          <w:lang w:val="lt-LT"/>
        </w:rPr>
        <w:t xml:space="preserve">Nuo 2007 m. </w:t>
      </w:r>
      <w:r w:rsidRPr="006F2B23">
        <w:rPr>
          <w:lang w:val="lt-LT"/>
        </w:rPr>
        <w:t xml:space="preserve">naujų </w:t>
      </w:r>
      <w:r>
        <w:rPr>
          <w:lang w:val="lt-LT"/>
        </w:rPr>
        <w:t>psichikos ligų</w:t>
      </w:r>
      <w:r w:rsidRPr="006F2B23">
        <w:rPr>
          <w:lang w:val="lt-LT"/>
        </w:rPr>
        <w:t xml:space="preserve"> atvejų skaičius, vartojančių alkoholį grupėje, </w:t>
      </w:r>
      <w:r w:rsidRPr="00C14098">
        <w:rPr>
          <w:lang w:val="lt-LT"/>
        </w:rPr>
        <w:t>ma</w:t>
      </w:r>
      <w:r w:rsidRPr="006F2B23">
        <w:rPr>
          <w:lang w:val="lt-LT"/>
        </w:rPr>
        <w:t>žėj</w:t>
      </w:r>
      <w:r>
        <w:rPr>
          <w:lang w:val="lt-LT"/>
        </w:rPr>
        <w:t>o</w:t>
      </w:r>
      <w:r w:rsidRPr="006F2B23">
        <w:rPr>
          <w:lang w:val="lt-LT"/>
        </w:rPr>
        <w:t xml:space="preserve"> ir Lietuvoje, ir Vilni</w:t>
      </w:r>
      <w:r>
        <w:rPr>
          <w:lang w:val="lt-LT"/>
        </w:rPr>
        <w:t>aus r</w:t>
      </w:r>
      <w:r w:rsidRPr="006F2B23">
        <w:rPr>
          <w:lang w:val="lt-LT"/>
        </w:rPr>
        <w:t>.</w:t>
      </w:r>
      <w:r>
        <w:rPr>
          <w:lang w:val="lt-LT"/>
        </w:rPr>
        <w:t>, nuo 2010 m. stebimas nedidelis naujų atvejų padidėjimas rajone.</w:t>
      </w:r>
    </w:p>
    <w:p w:rsidR="00A241E3" w:rsidRPr="00AA54E5" w:rsidRDefault="00A241E3" w:rsidP="0030693D">
      <w:pPr>
        <w:pStyle w:val="NoSpacing"/>
        <w:jc w:val="both"/>
        <w:rPr>
          <w:rFonts w:cs="Times New Roman"/>
          <w:szCs w:val="24"/>
          <w:lang w:val="lt-LT"/>
        </w:rPr>
      </w:pPr>
    </w:p>
    <w:p w:rsidR="00A241E3" w:rsidRPr="00AA54E5" w:rsidRDefault="00A241E3" w:rsidP="0030693D">
      <w:pPr>
        <w:pStyle w:val="NoSpacing"/>
        <w:ind w:firstLine="360"/>
        <w:jc w:val="both"/>
        <w:rPr>
          <w:rFonts w:cs="Times New Roman"/>
          <w:szCs w:val="24"/>
          <w:u w:val="single"/>
          <w:lang w:val="lt-LT"/>
        </w:rPr>
      </w:pPr>
      <w:r w:rsidRPr="00AA54E5">
        <w:rPr>
          <w:rFonts w:cs="Times New Roman"/>
          <w:szCs w:val="24"/>
          <w:u w:val="single"/>
          <w:lang w:val="lt-LT"/>
        </w:rPr>
        <w:t>Rekomendacijos:</w:t>
      </w:r>
    </w:p>
    <w:p w:rsidR="00A241E3" w:rsidRPr="00AA54E5" w:rsidRDefault="00A241E3" w:rsidP="00306554">
      <w:pPr>
        <w:spacing w:after="0"/>
        <w:jc w:val="both"/>
        <w:rPr>
          <w:b/>
          <w:szCs w:val="24"/>
        </w:rPr>
      </w:pPr>
      <w:r w:rsidRPr="00AA54E5">
        <w:rPr>
          <w:b/>
          <w:szCs w:val="24"/>
        </w:rPr>
        <w:t>Alkoholio vartojimo mažinimas:</w:t>
      </w:r>
    </w:p>
    <w:p w:rsidR="00A241E3" w:rsidRPr="00AA54E5" w:rsidRDefault="00A241E3" w:rsidP="00306554">
      <w:pPr>
        <w:pStyle w:val="ListParagraph"/>
        <w:numPr>
          <w:ilvl w:val="0"/>
          <w:numId w:val="11"/>
        </w:numPr>
        <w:jc w:val="both"/>
      </w:pPr>
      <w:r w:rsidRPr="00AA54E5">
        <w:t>Švietimas alkoholio prevencine tema: leidiniai, akcijos, mokymai, socialinė reklama;</w:t>
      </w:r>
    </w:p>
    <w:p w:rsidR="00A241E3" w:rsidRPr="00AA54E5" w:rsidRDefault="00A241E3" w:rsidP="00306554">
      <w:pPr>
        <w:pStyle w:val="ListParagraph"/>
        <w:numPr>
          <w:ilvl w:val="0"/>
          <w:numId w:val="11"/>
        </w:numPr>
        <w:jc w:val="both"/>
      </w:pPr>
      <w:r w:rsidRPr="00AA54E5">
        <w:lastRenderedPageBreak/>
        <w:t>Mažinti alkoholio pardavimo vietų skaičių (parduotuvės daugiabučiuose namuose, kioskeliai);</w:t>
      </w:r>
    </w:p>
    <w:p w:rsidR="00A241E3" w:rsidRPr="00AA54E5" w:rsidRDefault="00A241E3" w:rsidP="00306554">
      <w:pPr>
        <w:pStyle w:val="ListParagraph"/>
        <w:numPr>
          <w:ilvl w:val="0"/>
          <w:numId w:val="11"/>
        </w:numPr>
        <w:jc w:val="both"/>
      </w:pPr>
      <w:r w:rsidRPr="00AA54E5">
        <w:t xml:space="preserve">Pardavėjams kontroliuoti perkančių asmenų amžių; </w:t>
      </w:r>
    </w:p>
    <w:p w:rsidR="00A241E3" w:rsidRPr="00AA54E5" w:rsidRDefault="00A241E3" w:rsidP="00306554">
      <w:pPr>
        <w:pStyle w:val="ListParagraph"/>
        <w:numPr>
          <w:ilvl w:val="0"/>
          <w:numId w:val="11"/>
        </w:numPr>
        <w:jc w:val="both"/>
      </w:pPr>
      <w:r w:rsidRPr="00AA54E5">
        <w:t>Drausti išsinešti alkoholį iš viešo maitinimo įstaigų “barų” po 22 h.;</w:t>
      </w:r>
    </w:p>
    <w:p w:rsidR="00A241E3" w:rsidRPr="00AA54E5" w:rsidRDefault="00A241E3" w:rsidP="00306554">
      <w:pPr>
        <w:spacing w:after="0"/>
        <w:ind w:left="927"/>
        <w:jc w:val="both"/>
        <w:rPr>
          <w:szCs w:val="24"/>
        </w:rPr>
      </w:pPr>
    </w:p>
    <w:p w:rsidR="00A241E3" w:rsidRPr="00AA54E5" w:rsidRDefault="00A241E3" w:rsidP="00306554">
      <w:pPr>
        <w:spacing w:after="0"/>
        <w:jc w:val="both"/>
        <w:rPr>
          <w:b/>
          <w:szCs w:val="24"/>
        </w:rPr>
      </w:pPr>
      <w:r w:rsidRPr="00AA54E5">
        <w:rPr>
          <w:b/>
          <w:szCs w:val="24"/>
        </w:rPr>
        <w:t>Psichoakatyvių medžiagų vartojimo prevencija:</w:t>
      </w:r>
    </w:p>
    <w:p w:rsidR="00A241E3" w:rsidRPr="00AA54E5" w:rsidRDefault="00A241E3" w:rsidP="00306554">
      <w:pPr>
        <w:pStyle w:val="ListParagraph"/>
        <w:numPr>
          <w:ilvl w:val="0"/>
          <w:numId w:val="12"/>
        </w:numPr>
        <w:jc w:val="both"/>
      </w:pPr>
      <w:r w:rsidRPr="00AA54E5">
        <w:rPr>
          <w:lang w:val="lt-LT"/>
        </w:rPr>
        <w:t>stabdyti ir mažinti neteisėtą narkotinių ir psichotropinių medžiagų vartojimą ir jų paklausą ugdant neigiamą požiūrį į narkotines ir psichotropines medžiagas tarp vaikų ir jaunimo, šeimose, bendruomenėse ir visuomenėje, diegiant žmogaus gyvenimo reikšmės ir vertybinių nuostatų bei sveikos gyvensenos sampratą;</w:t>
      </w:r>
    </w:p>
    <w:p w:rsidR="00A241E3" w:rsidRPr="00AA54E5" w:rsidRDefault="00A241E3" w:rsidP="00306554">
      <w:pPr>
        <w:pStyle w:val="ListParagraph"/>
        <w:numPr>
          <w:ilvl w:val="0"/>
          <w:numId w:val="12"/>
        </w:numPr>
        <w:tabs>
          <w:tab w:val="left" w:pos="1200"/>
        </w:tabs>
        <w:jc w:val="both"/>
        <w:rPr>
          <w:lang w:val="lt-LT"/>
        </w:rPr>
      </w:pPr>
      <w:r w:rsidRPr="00AA54E5">
        <w:rPr>
          <w:lang w:val="lt-LT"/>
        </w:rPr>
        <w:t>užtikrinti ir stiprinti tarpinstitucinį ir tarptautinį bendradarbiavimą ir koordinavimą  narkotikų kontrolės ir narkomanijos prevencijos srityse.</w:t>
      </w:r>
    </w:p>
    <w:p w:rsidR="00A241E3" w:rsidRDefault="00A241E3" w:rsidP="00A241E3">
      <w:pPr>
        <w:pStyle w:val="ListParagraph"/>
        <w:rPr>
          <w:b/>
          <w:sz w:val="28"/>
          <w:szCs w:val="28"/>
        </w:rPr>
      </w:pPr>
    </w:p>
    <w:p w:rsidR="00306554" w:rsidRDefault="00306554" w:rsidP="00A241E3">
      <w:pPr>
        <w:pStyle w:val="ListParagraph"/>
        <w:rPr>
          <w:b/>
          <w:sz w:val="28"/>
          <w:szCs w:val="28"/>
        </w:rPr>
      </w:pPr>
    </w:p>
    <w:p w:rsidR="00A241E3" w:rsidRPr="0030693D" w:rsidRDefault="00A241E3" w:rsidP="00A241E3">
      <w:pPr>
        <w:pStyle w:val="ListParagraph"/>
        <w:rPr>
          <w:b/>
        </w:rPr>
      </w:pPr>
      <w:r w:rsidRPr="0030693D">
        <w:rPr>
          <w:b/>
        </w:rPr>
        <w:t>Akių ligos</w:t>
      </w:r>
    </w:p>
    <w:p w:rsidR="0030693D" w:rsidRDefault="0030693D" w:rsidP="00A241E3">
      <w:pPr>
        <w:pStyle w:val="ListParagraph"/>
        <w:rPr>
          <w:b/>
          <w:sz w:val="28"/>
          <w:szCs w:val="28"/>
        </w:rPr>
      </w:pPr>
    </w:p>
    <w:p w:rsidR="00A241E3" w:rsidRPr="00AA54E5" w:rsidRDefault="00A241E3" w:rsidP="00306554">
      <w:pPr>
        <w:pStyle w:val="NoSpacing"/>
        <w:tabs>
          <w:tab w:val="left" w:pos="426"/>
        </w:tabs>
        <w:ind w:left="426" w:hanging="426"/>
        <w:jc w:val="both"/>
        <w:rPr>
          <w:rFonts w:cs="Times New Roman"/>
          <w:szCs w:val="24"/>
          <w:u w:val="single"/>
          <w:lang w:val="lt-LT"/>
        </w:rPr>
      </w:pPr>
      <w:r w:rsidRPr="00AA54E5">
        <w:rPr>
          <w:rFonts w:cs="Times New Roman"/>
          <w:szCs w:val="24"/>
          <w:u w:val="single"/>
          <w:lang w:val="lt-LT"/>
        </w:rPr>
        <w:t>Rekomendacijos:</w:t>
      </w:r>
    </w:p>
    <w:p w:rsidR="00A241E3" w:rsidRPr="00AA54E5" w:rsidRDefault="00A241E3" w:rsidP="00306554">
      <w:pPr>
        <w:pStyle w:val="ListParagraph"/>
        <w:numPr>
          <w:ilvl w:val="0"/>
          <w:numId w:val="6"/>
        </w:numPr>
        <w:jc w:val="both"/>
      </w:pPr>
      <w:r w:rsidRPr="00AA54E5">
        <w:t>Norint išvengti apakimo nuo glaukomos, labai svarbu ją diagnozuoti pra</w:t>
      </w:r>
      <w:r w:rsidRPr="00AA54E5">
        <w:softHyphen/>
        <w:t>dinėse ligos stadijose, todėl gyventojai turėtų  profilaktiškai tikrintis akis (kiekvie</w:t>
      </w:r>
      <w:r w:rsidRPr="00AA54E5">
        <w:softHyphen/>
        <w:t>nam žmogui, turinčiam daugiau kaip 50 metų, akispūdis turi būti matuo</w:t>
      </w:r>
      <w:r w:rsidRPr="00AA54E5">
        <w:softHyphen/>
        <w:t>jamas vieną kartą per metus), informuoti apie tai gyventojus;</w:t>
      </w:r>
    </w:p>
    <w:p w:rsidR="00A241E3" w:rsidRPr="00AA54E5" w:rsidRDefault="00A241E3" w:rsidP="00306554">
      <w:pPr>
        <w:pStyle w:val="ListParagraph"/>
        <w:numPr>
          <w:ilvl w:val="0"/>
          <w:numId w:val="6"/>
        </w:numPr>
        <w:jc w:val="both"/>
      </w:pPr>
      <w:r w:rsidRPr="00AA54E5">
        <w:t>Labai svarbu reguliariai tikrinti vaikų regėjimą bent kartą metuose;</w:t>
      </w:r>
    </w:p>
    <w:p w:rsidR="00306554" w:rsidRPr="00306554" w:rsidRDefault="00A241E3" w:rsidP="00306554">
      <w:pPr>
        <w:pStyle w:val="ListParagraph"/>
        <w:numPr>
          <w:ilvl w:val="0"/>
          <w:numId w:val="6"/>
        </w:numPr>
        <w:jc w:val="both"/>
      </w:pPr>
      <w:r w:rsidRPr="00AA54E5">
        <w:rPr>
          <w:color w:val="000000"/>
        </w:rPr>
        <w:t>Tėvų švietimas vaikų regos klausimais. Kad normaliai funkcionuotų  vaikų regos organai,  kiekvieną dieną reiktų laikytis pagrindinių taisyklių: 1) higienos normų; 2) pakankamo natūralaus ir dirbtinio apšvietimo; 3) pratinti vaiką laikytis vaikų įstaigos rekomenduojamo režimo; 4) maitinti vaiką kuo įvairesniu maistu (teigiamai regėjimą veikia A ir B vitaminų grupės, kurių yra šiuose maisto produktuose: morkose, žirniuose, kopūstuose, svogūnuose, pupose, pomidoruose, bulvėse); 5) stengtis, kad vaikas daug judėtų gryname ore; 6)vaiko kambarys turi būti labai gerai apšviestas. Be to, būtina laikytis bendrų higieninių reikalavimų. Vaikai turi miegoti ne mažiau kaip 8 valandas. Kasdien būti gryname ore 1,5 – 2 valandas. Maitintis vaikai turi ne rečiau kaip 4 kartus per dieną. Labai kenkia kai vaikai neribotą laiką praleidžia prie televizoriaus. Ypač reikia reguliuoti vaikų, kurių rega jau yra sutrikusi, televizoriaus žiūrėjimo laiką. Regimasis suvokimas labai pablogėja, jei žmogaus sėdi labai arti ar per toli nuo ekrano. Kenksminga žiūrėti gulomis, nepaisant to, kaip bus pastatytas televizorius. Akių raumenys bus be reikalo įtempti, o tai neigiamai gali paveikti regą. Geriausia, kai šviesos šaltinis yra už nugaros ir šviesa nekrinta į akis, neatsispindi televizoriaus ekrane.        </w:t>
      </w:r>
    </w:p>
    <w:p w:rsidR="00A241E3" w:rsidRPr="00AA54E5" w:rsidRDefault="00A241E3" w:rsidP="00306554">
      <w:pPr>
        <w:jc w:val="both"/>
      </w:pPr>
      <w:r w:rsidRPr="00306554">
        <w:rPr>
          <w:color w:val="000000"/>
        </w:rPr>
        <w:t>   </w:t>
      </w:r>
    </w:p>
    <w:p w:rsidR="00A241E3" w:rsidRDefault="00A241E3" w:rsidP="00A241E3">
      <w:pPr>
        <w:spacing w:after="0"/>
        <w:ind w:firstLine="567"/>
        <w:jc w:val="both"/>
        <w:rPr>
          <w:b/>
          <w:szCs w:val="24"/>
        </w:rPr>
      </w:pPr>
      <w:r>
        <w:rPr>
          <w:b/>
          <w:szCs w:val="24"/>
        </w:rPr>
        <w:t>Cukrinis diabetas</w:t>
      </w:r>
    </w:p>
    <w:p w:rsidR="00A241E3" w:rsidRDefault="00A241E3" w:rsidP="00A241E3">
      <w:pPr>
        <w:spacing w:after="0"/>
        <w:jc w:val="both"/>
        <w:rPr>
          <w:b/>
          <w:szCs w:val="24"/>
        </w:rPr>
      </w:pPr>
    </w:p>
    <w:p w:rsidR="00A241E3" w:rsidRDefault="00A241E3" w:rsidP="00A241E3">
      <w:pPr>
        <w:autoSpaceDE w:val="0"/>
        <w:autoSpaceDN w:val="0"/>
        <w:adjustRightInd w:val="0"/>
        <w:spacing w:after="0"/>
        <w:ind w:firstLine="567"/>
        <w:jc w:val="both"/>
        <w:rPr>
          <w:rFonts w:eastAsia="TimesNewRomanPSMT"/>
          <w:szCs w:val="24"/>
        </w:rPr>
      </w:pPr>
      <w:r w:rsidRPr="000B5577">
        <w:rPr>
          <w:rFonts w:eastAsia="TimesNewRomanPSMT"/>
          <w:i/>
          <w:iCs/>
          <w:szCs w:val="24"/>
        </w:rPr>
        <w:t>Cukrinis diabetas</w:t>
      </w:r>
      <w:r w:rsidRPr="000B5577">
        <w:rPr>
          <w:rFonts w:eastAsia="TimesNewRomanPSMT"/>
          <w:szCs w:val="24"/>
        </w:rPr>
        <w:t xml:space="preserve"> – sparčiai plintanti liga. Kasmet vis daugiau diagnozuojama naujų šios ligos atvejų. Dalis žmonių net neįtaria, kad serga cukriniu diabetu, nors jau kenčia nuo jo sukeltų komplikacijų.</w:t>
      </w:r>
    </w:p>
    <w:p w:rsidR="00A241E3" w:rsidRDefault="00A241E3" w:rsidP="00A241E3">
      <w:pPr>
        <w:autoSpaceDE w:val="0"/>
        <w:autoSpaceDN w:val="0"/>
        <w:adjustRightInd w:val="0"/>
        <w:spacing w:after="0"/>
        <w:ind w:firstLine="567"/>
        <w:jc w:val="both"/>
        <w:rPr>
          <w:rFonts w:eastAsia="TimesNewRomanPSMT"/>
          <w:szCs w:val="24"/>
        </w:rPr>
      </w:pPr>
    </w:p>
    <w:p w:rsidR="00306554" w:rsidRDefault="00306554" w:rsidP="00A241E3">
      <w:pPr>
        <w:autoSpaceDE w:val="0"/>
        <w:autoSpaceDN w:val="0"/>
        <w:adjustRightInd w:val="0"/>
        <w:spacing w:after="0"/>
        <w:ind w:firstLine="567"/>
        <w:jc w:val="both"/>
        <w:rPr>
          <w:rFonts w:eastAsia="TimesNewRomanPSMT"/>
          <w:szCs w:val="24"/>
        </w:rPr>
      </w:pPr>
    </w:p>
    <w:p w:rsidR="00306554" w:rsidRDefault="00306554" w:rsidP="00A241E3">
      <w:pPr>
        <w:autoSpaceDE w:val="0"/>
        <w:autoSpaceDN w:val="0"/>
        <w:adjustRightInd w:val="0"/>
        <w:spacing w:after="0"/>
        <w:ind w:firstLine="567"/>
        <w:jc w:val="both"/>
        <w:rPr>
          <w:rFonts w:eastAsia="TimesNewRomanPSMT"/>
          <w:szCs w:val="24"/>
        </w:rPr>
      </w:pPr>
    </w:p>
    <w:p w:rsidR="00A241E3" w:rsidRDefault="00A241E3" w:rsidP="00A241E3">
      <w:pPr>
        <w:spacing w:after="0"/>
        <w:jc w:val="both"/>
        <w:rPr>
          <w:szCs w:val="24"/>
          <w:u w:val="single"/>
        </w:rPr>
      </w:pPr>
      <w:r w:rsidRPr="00F2780F">
        <w:rPr>
          <w:szCs w:val="24"/>
          <w:u w:val="single"/>
        </w:rPr>
        <w:lastRenderedPageBreak/>
        <w:t>Rekomendacijos:</w:t>
      </w:r>
    </w:p>
    <w:p w:rsidR="00A241E3" w:rsidRPr="00FC596C" w:rsidRDefault="00A241E3" w:rsidP="00A241E3">
      <w:pPr>
        <w:pStyle w:val="ListParagraph"/>
        <w:numPr>
          <w:ilvl w:val="0"/>
          <w:numId w:val="5"/>
        </w:numPr>
        <w:jc w:val="both"/>
        <w:rPr>
          <w:lang w:val="lt-LT"/>
        </w:rPr>
      </w:pPr>
      <w:r w:rsidRPr="00FC596C">
        <w:rPr>
          <w:lang w:val="lt-LT"/>
        </w:rPr>
        <w:t>Rengti nuolatines a</w:t>
      </w:r>
      <w:r w:rsidRPr="00FC596C">
        <w:rPr>
          <w:rFonts w:eastAsia="Calibri"/>
          <w:lang w:val="lt-LT"/>
        </w:rPr>
        <w:t xml:space="preserve">smenų, priskirtinų </w:t>
      </w:r>
      <w:r>
        <w:rPr>
          <w:rFonts w:eastAsia="Calibri"/>
          <w:lang w:val="lt-LT"/>
        </w:rPr>
        <w:t>II tipo cukrinio diabeto</w:t>
      </w:r>
      <w:r w:rsidRPr="00FC596C">
        <w:rPr>
          <w:rFonts w:eastAsia="Calibri"/>
          <w:lang w:val="lt-LT"/>
        </w:rPr>
        <w:t xml:space="preserve"> didelės rizikos grupei, atrankos ir prevencijos program</w:t>
      </w:r>
      <w:r w:rsidRPr="00FC596C">
        <w:rPr>
          <w:lang w:val="lt-LT"/>
        </w:rPr>
        <w:t xml:space="preserve">as Vilniaus </w:t>
      </w:r>
      <w:r>
        <w:rPr>
          <w:lang w:val="lt-LT"/>
        </w:rPr>
        <w:t>rajono</w:t>
      </w:r>
      <w:r w:rsidRPr="00FC596C">
        <w:rPr>
          <w:lang w:val="lt-LT"/>
        </w:rPr>
        <w:t xml:space="preserve"> savivaldybėje;</w:t>
      </w:r>
    </w:p>
    <w:p w:rsidR="00A241E3" w:rsidRPr="00FC596C" w:rsidRDefault="00A241E3" w:rsidP="00A241E3">
      <w:pPr>
        <w:pStyle w:val="ListParagraph"/>
        <w:numPr>
          <w:ilvl w:val="0"/>
          <w:numId w:val="5"/>
        </w:numPr>
        <w:jc w:val="both"/>
        <w:rPr>
          <w:lang w:val="lt-LT"/>
        </w:rPr>
      </w:pPr>
      <w:r w:rsidRPr="00FC596C">
        <w:rPr>
          <w:lang w:val="lt-LT"/>
        </w:rPr>
        <w:t xml:space="preserve">Didinti Vilniaus </w:t>
      </w:r>
      <w:r>
        <w:rPr>
          <w:lang w:val="lt-LT"/>
        </w:rPr>
        <w:t>rajono</w:t>
      </w:r>
      <w:r w:rsidRPr="00FC596C">
        <w:rPr>
          <w:lang w:val="lt-LT"/>
        </w:rPr>
        <w:t xml:space="preserve"> gyventojų informuotumą apie </w:t>
      </w:r>
      <w:r>
        <w:rPr>
          <w:lang w:val="lt-LT"/>
        </w:rPr>
        <w:t>I ir II tipo cukrinį diabetą, jo</w:t>
      </w:r>
      <w:r w:rsidRPr="00FC596C">
        <w:rPr>
          <w:lang w:val="lt-LT"/>
        </w:rPr>
        <w:t xml:space="preserve"> rizikos veiksnius</w:t>
      </w:r>
      <w:r>
        <w:rPr>
          <w:lang w:val="lt-LT"/>
        </w:rPr>
        <w:t xml:space="preserve">, simptomus, </w:t>
      </w:r>
      <w:r w:rsidRPr="00FC596C">
        <w:rPr>
          <w:lang w:val="lt-LT"/>
        </w:rPr>
        <w:t>profilaktikos priemones</w:t>
      </w:r>
      <w:r>
        <w:rPr>
          <w:lang w:val="lt-LT"/>
        </w:rPr>
        <w:t xml:space="preserve"> bei komplikacijas (priemonės – renginiai, akcijos, mokymai, dalomoji medžiaga)</w:t>
      </w:r>
      <w:r w:rsidRPr="00FC596C">
        <w:rPr>
          <w:lang w:val="lt-LT"/>
        </w:rPr>
        <w:t>;</w:t>
      </w:r>
    </w:p>
    <w:p w:rsidR="00A241E3" w:rsidRDefault="00A241E3" w:rsidP="00A241E3">
      <w:pPr>
        <w:pStyle w:val="ListParagraph"/>
        <w:numPr>
          <w:ilvl w:val="0"/>
          <w:numId w:val="5"/>
        </w:numPr>
        <w:jc w:val="both"/>
        <w:rPr>
          <w:lang w:val="lt-LT"/>
        </w:rPr>
      </w:pPr>
      <w:r w:rsidRPr="00FC596C">
        <w:rPr>
          <w:lang w:val="lt-LT"/>
        </w:rPr>
        <w:t xml:space="preserve">Skatinti </w:t>
      </w:r>
      <w:r>
        <w:rPr>
          <w:lang w:val="lt-LT"/>
        </w:rPr>
        <w:t>Vilniaus rajono gyventojus reguliariai tikrinti</w:t>
      </w:r>
      <w:r w:rsidRPr="00FC596C">
        <w:rPr>
          <w:lang w:val="lt-LT"/>
        </w:rPr>
        <w:t xml:space="preserve"> </w:t>
      </w:r>
      <w:r>
        <w:rPr>
          <w:lang w:val="lt-LT"/>
        </w:rPr>
        <w:t>gliukozės kiekį kraujyje</w:t>
      </w:r>
      <w:r w:rsidRPr="00FC596C">
        <w:rPr>
          <w:lang w:val="lt-LT"/>
        </w:rPr>
        <w:t>, bei nustatyti kūno masės indeksą</w:t>
      </w:r>
      <w:r>
        <w:rPr>
          <w:lang w:val="lt-LT"/>
        </w:rPr>
        <w:t>, priklausantiems cukrinio diabeto rizikos grupei – atlikti gliukozės tolerancijos mėginį</w:t>
      </w:r>
      <w:r w:rsidRPr="00FC596C">
        <w:rPr>
          <w:lang w:val="lt-LT"/>
        </w:rPr>
        <w:t>;</w:t>
      </w:r>
    </w:p>
    <w:p w:rsidR="00A241E3" w:rsidRDefault="00A241E3" w:rsidP="00A241E3">
      <w:pPr>
        <w:pStyle w:val="ListParagraph"/>
        <w:numPr>
          <w:ilvl w:val="0"/>
          <w:numId w:val="5"/>
        </w:numPr>
        <w:jc w:val="both"/>
        <w:rPr>
          <w:lang w:val="lt-LT"/>
        </w:rPr>
      </w:pPr>
      <w:r>
        <w:rPr>
          <w:lang w:val="lt-LT"/>
        </w:rPr>
        <w:t>Mokyti sergančiuosius cukriniu diabetu savikontrolės (tinkamas gydymas ir gyvensena).</w:t>
      </w:r>
    </w:p>
    <w:p w:rsidR="00A241E3" w:rsidRDefault="00A241E3" w:rsidP="00A241E3">
      <w:pPr>
        <w:spacing w:after="0"/>
        <w:jc w:val="both"/>
        <w:rPr>
          <w:b/>
          <w:szCs w:val="24"/>
        </w:rPr>
      </w:pPr>
    </w:p>
    <w:p w:rsidR="00A241E3" w:rsidRDefault="00A241E3" w:rsidP="00A241E3">
      <w:pPr>
        <w:spacing w:after="0"/>
        <w:ind w:firstLine="567"/>
        <w:jc w:val="both"/>
        <w:rPr>
          <w:b/>
          <w:szCs w:val="24"/>
        </w:rPr>
      </w:pPr>
    </w:p>
    <w:p w:rsidR="00A241E3" w:rsidRDefault="00A241E3" w:rsidP="00A241E3">
      <w:pPr>
        <w:spacing w:after="0"/>
        <w:ind w:firstLine="567"/>
        <w:jc w:val="both"/>
        <w:rPr>
          <w:b/>
          <w:szCs w:val="24"/>
        </w:rPr>
      </w:pPr>
      <w:r>
        <w:rPr>
          <w:b/>
          <w:szCs w:val="24"/>
        </w:rPr>
        <w:t>Virškinimo sistemos ligos</w:t>
      </w:r>
    </w:p>
    <w:p w:rsidR="00A241E3" w:rsidRDefault="00A241E3" w:rsidP="00A241E3">
      <w:pPr>
        <w:spacing w:after="0"/>
        <w:jc w:val="both"/>
        <w:rPr>
          <w:color w:val="000000"/>
          <w:szCs w:val="24"/>
          <w:lang w:eastAsia="lt-LT"/>
        </w:rPr>
      </w:pPr>
    </w:p>
    <w:p w:rsidR="00A241E3" w:rsidRDefault="00A241E3" w:rsidP="00A241E3">
      <w:pPr>
        <w:spacing w:after="0"/>
        <w:ind w:firstLine="567"/>
        <w:jc w:val="both"/>
        <w:rPr>
          <w:color w:val="000000"/>
          <w:szCs w:val="24"/>
          <w:lang w:eastAsia="lt-LT"/>
        </w:rPr>
      </w:pPr>
      <w:r>
        <w:rPr>
          <w:color w:val="000000"/>
          <w:szCs w:val="24"/>
          <w:lang w:eastAsia="lt-LT"/>
        </w:rPr>
        <w:t>2010 metų duomenimis, Vilniaus rajono gyventojų mirtys nuo virškinimo sistemos ligų buvo ketvirtoje vietoje (5,8 proc.).</w:t>
      </w:r>
    </w:p>
    <w:p w:rsidR="00A241E3" w:rsidRDefault="00A241E3" w:rsidP="00A241E3">
      <w:pPr>
        <w:spacing w:after="0"/>
        <w:ind w:firstLine="567"/>
        <w:jc w:val="both"/>
        <w:rPr>
          <w:szCs w:val="24"/>
        </w:rPr>
      </w:pPr>
      <w:r>
        <w:rPr>
          <w:szCs w:val="24"/>
        </w:rPr>
        <w:t>Lietuvoje ir Vilniaus rajone 2001 – 2010 m. laikotarpiu stebimos virškinimo sistemos ligų naujų atvejų didėjimo tendencijos.</w:t>
      </w:r>
    </w:p>
    <w:p w:rsidR="00A241E3" w:rsidRDefault="00A241E3" w:rsidP="00A241E3">
      <w:pPr>
        <w:spacing w:after="0"/>
        <w:ind w:firstLine="567"/>
        <w:jc w:val="both"/>
        <w:rPr>
          <w:szCs w:val="24"/>
        </w:rPr>
      </w:pPr>
    </w:p>
    <w:p w:rsidR="00A241E3" w:rsidRDefault="00A241E3" w:rsidP="00A241E3">
      <w:pPr>
        <w:spacing w:after="0"/>
        <w:jc w:val="both"/>
        <w:rPr>
          <w:szCs w:val="24"/>
          <w:u w:val="single"/>
        </w:rPr>
      </w:pPr>
      <w:r w:rsidRPr="00F2780F">
        <w:rPr>
          <w:szCs w:val="24"/>
          <w:u w:val="single"/>
        </w:rPr>
        <w:t>Rekomendacijos:</w:t>
      </w:r>
    </w:p>
    <w:p w:rsidR="00A241E3" w:rsidRDefault="00A241E3" w:rsidP="00A241E3">
      <w:pPr>
        <w:pStyle w:val="ListParagraph"/>
        <w:numPr>
          <w:ilvl w:val="0"/>
          <w:numId w:val="21"/>
        </w:numPr>
        <w:jc w:val="both"/>
        <w:rPr>
          <w:lang w:val="lt-LT"/>
        </w:rPr>
      </w:pPr>
      <w:r w:rsidRPr="007D2998">
        <w:rPr>
          <w:lang w:val="lt-LT"/>
        </w:rPr>
        <w:t xml:space="preserve">Skatinti Vilniaus </w:t>
      </w:r>
      <w:r>
        <w:rPr>
          <w:lang w:val="lt-LT"/>
        </w:rPr>
        <w:t>rajono</w:t>
      </w:r>
      <w:r w:rsidRPr="007D2998">
        <w:rPr>
          <w:lang w:val="lt-LT"/>
        </w:rPr>
        <w:t xml:space="preserve"> gyventojus reguliariai lankytis pas odontologą;</w:t>
      </w:r>
    </w:p>
    <w:p w:rsidR="00A241E3" w:rsidRPr="00BB673A" w:rsidRDefault="00A241E3" w:rsidP="00A241E3">
      <w:pPr>
        <w:pStyle w:val="ListParagraph"/>
        <w:numPr>
          <w:ilvl w:val="0"/>
          <w:numId w:val="21"/>
        </w:numPr>
        <w:jc w:val="both"/>
        <w:rPr>
          <w:lang w:val="lt-LT"/>
        </w:rPr>
      </w:pPr>
      <w:r w:rsidRPr="00BB673A">
        <w:rPr>
          <w:lang w:val="lt-LT"/>
        </w:rPr>
        <w:t>Didinti tėvų informuotumą apie vykdomą „</w:t>
      </w:r>
      <w:r w:rsidRPr="00BB673A">
        <w:t>Vaikų krūminių dantų dengimo silantinėmis medžiagomis”</w:t>
      </w:r>
      <w:r w:rsidRPr="00BB673A">
        <w:rPr>
          <w:lang w:val="lt-LT"/>
        </w:rPr>
        <w:t xml:space="preserve"> programą</w:t>
      </w:r>
      <w:r>
        <w:rPr>
          <w:lang w:val="lt-LT"/>
        </w:rPr>
        <w:t xml:space="preserve"> bei skatinti joje dalyvauti</w:t>
      </w:r>
      <w:r w:rsidRPr="00BB673A">
        <w:rPr>
          <w:lang w:val="lt-LT"/>
        </w:rPr>
        <w:t>;</w:t>
      </w:r>
    </w:p>
    <w:p w:rsidR="00A241E3" w:rsidRPr="007D2998" w:rsidRDefault="00A241E3" w:rsidP="00A241E3">
      <w:pPr>
        <w:pStyle w:val="ListParagraph"/>
        <w:numPr>
          <w:ilvl w:val="0"/>
          <w:numId w:val="21"/>
        </w:numPr>
        <w:jc w:val="both"/>
        <w:rPr>
          <w:lang w:val="lt-LT"/>
        </w:rPr>
      </w:pPr>
      <w:r>
        <w:rPr>
          <w:lang w:val="lt-LT"/>
        </w:rPr>
        <w:t>Didinti gyventojų prieinamumą pas odontologą;</w:t>
      </w:r>
    </w:p>
    <w:p w:rsidR="00A241E3" w:rsidRPr="007D2998" w:rsidRDefault="00A241E3" w:rsidP="00A241E3">
      <w:pPr>
        <w:pStyle w:val="ListParagraph"/>
        <w:numPr>
          <w:ilvl w:val="0"/>
          <w:numId w:val="21"/>
        </w:numPr>
        <w:jc w:val="both"/>
        <w:rPr>
          <w:lang w:val="lt-LT"/>
        </w:rPr>
      </w:pPr>
      <w:r w:rsidRPr="007D2998">
        <w:rPr>
          <w:lang w:val="lt-LT"/>
        </w:rPr>
        <w:t>Mokyti vaikus ir suaugusiuosius higienos (taisyklingo dantų valymosi, rankų plovimo) bei sveikos gyvensenos (taisyklingai maitintis, būti fiziškai aktyviu, atsisakyti žalingų įpročių) įgūdžių</w:t>
      </w:r>
      <w:r>
        <w:rPr>
          <w:lang w:val="lt-LT"/>
        </w:rPr>
        <w:t xml:space="preserve"> </w:t>
      </w:r>
      <w:r w:rsidRPr="005502FE">
        <w:rPr>
          <w:i/>
          <w:lang w:val="lt-LT"/>
        </w:rPr>
        <w:t>(plačiau skaityti mitybos, fizinio aktyvumo, psichoaktyviųjų medžiagų rekomendacijas)</w:t>
      </w:r>
      <w:r>
        <w:rPr>
          <w:i/>
          <w:lang w:val="lt-LT"/>
        </w:rPr>
        <w:t>;</w:t>
      </w:r>
    </w:p>
    <w:p w:rsidR="00A241E3" w:rsidRPr="007D2998" w:rsidRDefault="00A241E3" w:rsidP="00A241E3">
      <w:pPr>
        <w:pStyle w:val="ListParagraph"/>
        <w:numPr>
          <w:ilvl w:val="0"/>
          <w:numId w:val="21"/>
        </w:numPr>
        <w:jc w:val="both"/>
      </w:pPr>
      <w:r w:rsidRPr="008B47EA">
        <w:t xml:space="preserve">Kurti ir įgyvendinti Vilniaus </w:t>
      </w:r>
      <w:r>
        <w:t>rajono</w:t>
      </w:r>
      <w:r w:rsidRPr="008B47EA">
        <w:t xml:space="preserve"> savivaldybėje </w:t>
      </w:r>
      <w:r>
        <w:t>psichoaktyvių medžiagų (alkoholio) vartojimo  prevencijos pro</w:t>
      </w:r>
      <w:r w:rsidRPr="008B47EA">
        <w:t>gramas</w:t>
      </w:r>
      <w:r>
        <w:t>.</w:t>
      </w:r>
    </w:p>
    <w:p w:rsidR="00A241E3" w:rsidRPr="00AA54E5" w:rsidRDefault="00A241E3" w:rsidP="00A241E3">
      <w:pPr>
        <w:pStyle w:val="NoSpacing"/>
        <w:rPr>
          <w:rFonts w:cs="Times New Roman"/>
          <w:szCs w:val="24"/>
          <w:lang w:val="lt-LT"/>
        </w:rPr>
      </w:pPr>
    </w:p>
    <w:p w:rsidR="001A45D0" w:rsidRDefault="001A45D0" w:rsidP="00A241E3">
      <w:pPr>
        <w:pStyle w:val="NoSpacing"/>
        <w:rPr>
          <w:rFonts w:cs="Times New Roman"/>
          <w:sz w:val="32"/>
          <w:szCs w:val="32"/>
          <w:lang w:val="lt-LT"/>
        </w:rPr>
      </w:pPr>
    </w:p>
    <w:p w:rsidR="00A241E3" w:rsidRPr="00306554" w:rsidRDefault="00306554" w:rsidP="00306554">
      <w:pPr>
        <w:pStyle w:val="NoSpacing"/>
        <w:ind w:firstLine="567"/>
        <w:rPr>
          <w:rFonts w:cs="Times New Roman"/>
          <w:b/>
          <w:sz w:val="28"/>
          <w:szCs w:val="28"/>
          <w:lang w:val="lt-LT"/>
        </w:rPr>
      </w:pPr>
      <w:r w:rsidRPr="00306554">
        <w:rPr>
          <w:rFonts w:cs="Times New Roman"/>
          <w:b/>
          <w:sz w:val="28"/>
          <w:szCs w:val="28"/>
          <w:lang w:val="lt-LT"/>
        </w:rPr>
        <w:t>Gyvensena</w:t>
      </w:r>
    </w:p>
    <w:p w:rsidR="00A241E3" w:rsidRPr="00AA54E5" w:rsidRDefault="00A241E3" w:rsidP="00A241E3">
      <w:pPr>
        <w:pStyle w:val="NoSpacing"/>
        <w:rPr>
          <w:rFonts w:cs="Times New Roman"/>
          <w:sz w:val="32"/>
          <w:szCs w:val="32"/>
          <w:lang w:val="lt-LT"/>
        </w:rPr>
      </w:pPr>
    </w:p>
    <w:p w:rsidR="00A241E3" w:rsidRDefault="00A241E3" w:rsidP="00A241E3">
      <w:pPr>
        <w:spacing w:after="0"/>
        <w:ind w:firstLine="567"/>
        <w:rPr>
          <w:b/>
          <w:szCs w:val="24"/>
        </w:rPr>
      </w:pPr>
      <w:r>
        <w:rPr>
          <w:b/>
          <w:szCs w:val="24"/>
        </w:rPr>
        <w:t>Mityba</w:t>
      </w:r>
    </w:p>
    <w:p w:rsidR="00A241E3" w:rsidRDefault="00A241E3" w:rsidP="00A241E3">
      <w:pPr>
        <w:spacing w:after="0"/>
        <w:rPr>
          <w:b/>
          <w:szCs w:val="24"/>
        </w:rPr>
      </w:pPr>
    </w:p>
    <w:p w:rsidR="00A241E3" w:rsidRDefault="00A241E3" w:rsidP="00A241E3">
      <w:pPr>
        <w:spacing w:after="0"/>
        <w:ind w:firstLine="567"/>
        <w:jc w:val="both"/>
        <w:rPr>
          <w:szCs w:val="24"/>
        </w:rPr>
      </w:pPr>
      <w:r w:rsidRPr="007045AB">
        <w:rPr>
          <w:szCs w:val="24"/>
        </w:rPr>
        <w:t>Mityba – vienas svarbiausių gyvensenos veiksnių, darančių poveikį sveikatai</w:t>
      </w:r>
      <w:r>
        <w:rPr>
          <w:szCs w:val="24"/>
        </w:rPr>
        <w:t>. D</w:t>
      </w:r>
      <w:r w:rsidRPr="00A80BFB">
        <w:rPr>
          <w:szCs w:val="24"/>
        </w:rPr>
        <w:t xml:space="preserve">augelio lėtinių neinfekcinių ligų, o ypač širdies ir kraujagyslių sistemos, </w:t>
      </w:r>
      <w:r>
        <w:rPr>
          <w:szCs w:val="24"/>
        </w:rPr>
        <w:t xml:space="preserve">endokrininės ir medžiagų apykaitos sistemos (II tipo cukrinis diabetas, nutukimas), </w:t>
      </w:r>
      <w:r w:rsidRPr="00A80BFB">
        <w:rPr>
          <w:szCs w:val="24"/>
        </w:rPr>
        <w:t xml:space="preserve">vystymasis siejamas su </w:t>
      </w:r>
      <w:r>
        <w:rPr>
          <w:szCs w:val="24"/>
        </w:rPr>
        <w:t xml:space="preserve">nevisaverte </w:t>
      </w:r>
      <w:r w:rsidRPr="00A80BFB">
        <w:rPr>
          <w:szCs w:val="24"/>
        </w:rPr>
        <w:t xml:space="preserve">gyventojų </w:t>
      </w:r>
      <w:r>
        <w:rPr>
          <w:szCs w:val="24"/>
        </w:rPr>
        <w:t>mityba.</w:t>
      </w:r>
    </w:p>
    <w:p w:rsidR="00A241E3" w:rsidRDefault="00A241E3" w:rsidP="00A241E3">
      <w:pPr>
        <w:spacing w:after="0"/>
        <w:ind w:firstLine="567"/>
        <w:jc w:val="both"/>
        <w:rPr>
          <w:szCs w:val="24"/>
        </w:rPr>
      </w:pPr>
    </w:p>
    <w:p w:rsidR="00A241E3" w:rsidRDefault="00A241E3" w:rsidP="00A241E3">
      <w:pPr>
        <w:spacing w:after="0"/>
        <w:jc w:val="both"/>
        <w:rPr>
          <w:szCs w:val="24"/>
          <w:u w:val="single"/>
        </w:rPr>
      </w:pPr>
      <w:r w:rsidRPr="00F2780F">
        <w:rPr>
          <w:szCs w:val="24"/>
          <w:u w:val="single"/>
        </w:rPr>
        <w:t>Rekomendacijos:</w:t>
      </w:r>
    </w:p>
    <w:p w:rsidR="00A241E3" w:rsidRPr="00DE4901" w:rsidRDefault="00A241E3" w:rsidP="00A241E3">
      <w:pPr>
        <w:pStyle w:val="ListParagraph"/>
        <w:numPr>
          <w:ilvl w:val="0"/>
          <w:numId w:val="14"/>
        </w:numPr>
        <w:jc w:val="both"/>
      </w:pPr>
      <w:r w:rsidRPr="00DE4901">
        <w:t xml:space="preserve">Siekti, kad Vilniaus </w:t>
      </w:r>
      <w:r>
        <w:t>rajono</w:t>
      </w:r>
      <w:r w:rsidRPr="00DE4901">
        <w:t xml:space="preserve"> gyventojų mityba butų visavertė ir atitiktų PSO rekomendacijas: riebalų kiekis 15 – 30 proc., sočiųjų riebalų rūgščių mažiau negu 7 proc., paprastųjų angliavandenių mažiau negu 10 proc. paros maisto energinės vertės, maistinių skaidulų – 25 – 30 gramų; daržoves ir vaisius vartoti kiekvieną dieną po 400 – 500 gramų; riebius mėsos ir </w:t>
      </w:r>
      <w:r w:rsidRPr="00DE4901">
        <w:lastRenderedPageBreak/>
        <w:t>pieno produktus keisti liesais, daugiau vartoti žuvų; mažiau konditerijos ir kitų daug cukraus turinčių produktų, tai pat keptų, rūkytų ir sūrių maisto produktų;</w:t>
      </w:r>
    </w:p>
    <w:p w:rsidR="00A241E3" w:rsidRPr="00D97486" w:rsidRDefault="00A241E3" w:rsidP="00A241E3">
      <w:pPr>
        <w:pStyle w:val="ListParagraph"/>
        <w:numPr>
          <w:ilvl w:val="0"/>
          <w:numId w:val="14"/>
        </w:numPr>
        <w:jc w:val="both"/>
      </w:pPr>
      <w:r w:rsidRPr="00D97486">
        <w:t xml:space="preserve">Didinti Vilniaus </w:t>
      </w:r>
      <w:r>
        <w:t>rajono</w:t>
      </w:r>
      <w:r w:rsidRPr="00D97486">
        <w:t xml:space="preserve"> gyventojų informuotumą apie sveiką mitybą, suformuoti sveikos mitybos įgūdžius;</w:t>
      </w:r>
    </w:p>
    <w:p w:rsidR="00A241E3" w:rsidRDefault="00A241E3" w:rsidP="00A241E3">
      <w:pPr>
        <w:pStyle w:val="ListParagraph"/>
        <w:numPr>
          <w:ilvl w:val="0"/>
          <w:numId w:val="14"/>
        </w:numPr>
        <w:jc w:val="both"/>
        <w:rPr>
          <w:lang w:val="lt-LT"/>
        </w:rPr>
      </w:pPr>
      <w:r w:rsidRPr="00FC596C">
        <w:rPr>
          <w:lang w:val="lt-LT"/>
        </w:rPr>
        <w:t xml:space="preserve">Rengti nuolatines </w:t>
      </w:r>
      <w:r>
        <w:rPr>
          <w:rFonts w:eastAsia="Calibri"/>
          <w:lang w:val="lt-LT"/>
        </w:rPr>
        <w:t>sveikos mitybos</w:t>
      </w:r>
      <w:r w:rsidRPr="00FC596C">
        <w:rPr>
          <w:rFonts w:eastAsia="Calibri"/>
          <w:lang w:val="lt-LT"/>
        </w:rPr>
        <w:t xml:space="preserve"> program</w:t>
      </w:r>
      <w:r w:rsidRPr="00FC596C">
        <w:rPr>
          <w:lang w:val="lt-LT"/>
        </w:rPr>
        <w:t>as</w:t>
      </w:r>
      <w:r>
        <w:rPr>
          <w:lang w:val="lt-LT"/>
        </w:rPr>
        <w:t>, skirtas įvairioms tikslinėms Vilniaus rajono bendruomenių grupėms</w:t>
      </w:r>
      <w:r w:rsidRPr="00FC596C">
        <w:rPr>
          <w:lang w:val="lt-LT"/>
        </w:rPr>
        <w:t>;</w:t>
      </w:r>
    </w:p>
    <w:p w:rsidR="00A241E3" w:rsidRDefault="00A241E3" w:rsidP="00A241E3">
      <w:pPr>
        <w:pStyle w:val="ListParagraph"/>
        <w:numPr>
          <w:ilvl w:val="0"/>
          <w:numId w:val="14"/>
        </w:numPr>
        <w:jc w:val="both"/>
        <w:rPr>
          <w:lang w:val="lt-LT"/>
        </w:rPr>
      </w:pPr>
      <w:r>
        <w:rPr>
          <w:lang w:val="lt-LT"/>
        </w:rPr>
        <w:t>Organizuoti švietimo priemones: mokymus, renginius, akcijas,</w:t>
      </w:r>
      <w:r w:rsidRPr="00F84E0D">
        <w:rPr>
          <w:lang w:val="lt-LT"/>
        </w:rPr>
        <w:t xml:space="preserve"> </w:t>
      </w:r>
      <w:r>
        <w:rPr>
          <w:lang w:val="lt-LT"/>
        </w:rPr>
        <w:t>leidinius bei socialines reklamas;</w:t>
      </w:r>
    </w:p>
    <w:p w:rsidR="00A241E3" w:rsidRDefault="00A241E3" w:rsidP="00A241E3">
      <w:pPr>
        <w:pStyle w:val="ListParagraph"/>
        <w:numPr>
          <w:ilvl w:val="0"/>
          <w:numId w:val="14"/>
        </w:numPr>
        <w:jc w:val="both"/>
        <w:rPr>
          <w:lang w:val="lt-LT"/>
        </w:rPr>
      </w:pPr>
      <w:r>
        <w:rPr>
          <w:lang w:val="lt-LT"/>
        </w:rPr>
        <w:t>Siekti, kad vaikų ir paauglių maitinimas ugdymo įstaigose atitiktų jį reglamentuojančių teisinių aktų reikalavimus bei rekomendacijas;</w:t>
      </w:r>
    </w:p>
    <w:p w:rsidR="00A241E3" w:rsidRPr="00FC596C" w:rsidRDefault="00A241E3" w:rsidP="00A241E3">
      <w:pPr>
        <w:pStyle w:val="ListParagraph"/>
        <w:numPr>
          <w:ilvl w:val="0"/>
          <w:numId w:val="14"/>
        </w:numPr>
        <w:jc w:val="both"/>
        <w:rPr>
          <w:lang w:val="lt-LT"/>
        </w:rPr>
      </w:pPr>
      <w:r>
        <w:rPr>
          <w:lang w:val="lt-LT"/>
        </w:rPr>
        <w:t>Kelti visuomenės sveikatos priežiūros specialistų, dirbančių Vilniaus rajono ugdymo įstaigose, kvalifikaciją.</w:t>
      </w:r>
    </w:p>
    <w:p w:rsidR="00A241E3" w:rsidRDefault="00A241E3" w:rsidP="00A241E3">
      <w:pPr>
        <w:spacing w:after="0"/>
        <w:rPr>
          <w:b/>
          <w:szCs w:val="24"/>
        </w:rPr>
      </w:pPr>
    </w:p>
    <w:p w:rsidR="00A241E3" w:rsidRDefault="00A241E3" w:rsidP="00A241E3">
      <w:pPr>
        <w:spacing w:after="0"/>
        <w:rPr>
          <w:b/>
          <w:szCs w:val="24"/>
        </w:rPr>
      </w:pPr>
    </w:p>
    <w:p w:rsidR="00A241E3" w:rsidRDefault="00A241E3" w:rsidP="00A241E3">
      <w:pPr>
        <w:spacing w:after="0"/>
        <w:rPr>
          <w:b/>
          <w:szCs w:val="24"/>
        </w:rPr>
      </w:pPr>
      <w:r w:rsidRPr="00A80BFB">
        <w:rPr>
          <w:b/>
          <w:szCs w:val="24"/>
        </w:rPr>
        <w:t>Fizinis aktyvumas</w:t>
      </w:r>
    </w:p>
    <w:p w:rsidR="00A241E3" w:rsidRPr="00A80BFB" w:rsidRDefault="00A241E3" w:rsidP="00A241E3">
      <w:pPr>
        <w:spacing w:after="0"/>
        <w:ind w:firstLine="567"/>
        <w:rPr>
          <w:b/>
          <w:szCs w:val="24"/>
        </w:rPr>
      </w:pPr>
    </w:p>
    <w:p w:rsidR="00A241E3" w:rsidRDefault="00A241E3" w:rsidP="00A241E3">
      <w:pPr>
        <w:spacing w:after="0"/>
        <w:ind w:firstLine="567"/>
        <w:jc w:val="both"/>
        <w:rPr>
          <w:szCs w:val="24"/>
        </w:rPr>
      </w:pPr>
      <w:r>
        <w:rPr>
          <w:szCs w:val="24"/>
        </w:rPr>
        <w:t>Fizinis pasyvumas yra vienas svarbiausių lėtinių neinfekcinių ligų (kraujotakos sistemos ligos, II tipo cukrinis diabetas, nutukimas) rizikos veiksnys.</w:t>
      </w:r>
    </w:p>
    <w:p w:rsidR="00A241E3" w:rsidRPr="00A80BFB" w:rsidRDefault="00A241E3" w:rsidP="00A241E3">
      <w:pPr>
        <w:spacing w:after="0"/>
        <w:ind w:firstLine="567"/>
        <w:jc w:val="both"/>
        <w:rPr>
          <w:szCs w:val="24"/>
        </w:rPr>
      </w:pPr>
    </w:p>
    <w:p w:rsidR="00A241E3" w:rsidRDefault="00A241E3" w:rsidP="00A241E3">
      <w:pPr>
        <w:spacing w:after="0"/>
        <w:jc w:val="both"/>
        <w:rPr>
          <w:szCs w:val="24"/>
          <w:u w:val="single"/>
        </w:rPr>
      </w:pPr>
      <w:r w:rsidRPr="00F2780F">
        <w:rPr>
          <w:szCs w:val="24"/>
          <w:u w:val="single"/>
        </w:rPr>
        <w:t>Rekomendacijos:</w:t>
      </w:r>
    </w:p>
    <w:p w:rsidR="00A241E3" w:rsidRDefault="00A241E3" w:rsidP="00A241E3">
      <w:pPr>
        <w:pStyle w:val="ListParagraph"/>
        <w:numPr>
          <w:ilvl w:val="0"/>
          <w:numId w:val="13"/>
        </w:numPr>
        <w:jc w:val="both"/>
      </w:pPr>
      <w:r w:rsidRPr="00D84842">
        <w:t>S</w:t>
      </w:r>
      <w:r w:rsidRPr="00D84842">
        <w:rPr>
          <w:rFonts w:eastAsia="Calibri"/>
        </w:rPr>
        <w:t xml:space="preserve">iekti, kad </w:t>
      </w:r>
      <w:r>
        <w:rPr>
          <w:rFonts w:eastAsia="Calibri"/>
        </w:rPr>
        <w:t>Vilniaus rajono</w:t>
      </w:r>
      <w:r w:rsidRPr="00D84842">
        <w:rPr>
          <w:rFonts w:eastAsia="Calibri"/>
        </w:rPr>
        <w:t xml:space="preserve"> gyventojų fizinis aktyvumas atitiktų PSO rekomendacijas (pusė valandos kasdien – suaugusiesiems ir valanda kasdien – vaikams); </w:t>
      </w:r>
    </w:p>
    <w:p w:rsidR="00A241E3" w:rsidRPr="00D84842" w:rsidRDefault="00A241E3" w:rsidP="00A241E3">
      <w:pPr>
        <w:pStyle w:val="ListParagraph"/>
        <w:numPr>
          <w:ilvl w:val="0"/>
          <w:numId w:val="13"/>
        </w:numPr>
        <w:jc w:val="both"/>
      </w:pPr>
      <w:r w:rsidRPr="00D84842">
        <w:t>Skatinti gyventojų fizinį aktyvumą  tiek socialinėje aplinkoje, tiek sveikatos priežiūros įstaigose;</w:t>
      </w:r>
    </w:p>
    <w:p w:rsidR="00A241E3" w:rsidRDefault="00A241E3" w:rsidP="00A241E3">
      <w:pPr>
        <w:pStyle w:val="ListParagraph"/>
        <w:numPr>
          <w:ilvl w:val="0"/>
          <w:numId w:val="13"/>
        </w:numPr>
        <w:jc w:val="both"/>
      </w:pPr>
      <w:r>
        <w:t>Gerinti Vilniaus rajono rekreacinių zonų infrastruktūrą;</w:t>
      </w:r>
    </w:p>
    <w:p w:rsidR="00A241E3" w:rsidRPr="00F10FEC" w:rsidRDefault="00A241E3" w:rsidP="00A241E3">
      <w:pPr>
        <w:pStyle w:val="ListParagraph"/>
        <w:numPr>
          <w:ilvl w:val="0"/>
          <w:numId w:val="13"/>
        </w:numPr>
        <w:jc w:val="both"/>
      </w:pPr>
      <w:r>
        <w:t>Didinti dviračių ir pėsčiųjų takų kiekį ir kokybę;</w:t>
      </w:r>
    </w:p>
    <w:p w:rsidR="00A241E3" w:rsidRDefault="00A241E3" w:rsidP="00A241E3">
      <w:pPr>
        <w:pStyle w:val="ListParagraph"/>
        <w:numPr>
          <w:ilvl w:val="0"/>
          <w:numId w:val="13"/>
        </w:numPr>
        <w:jc w:val="both"/>
      </w:pPr>
      <w:r w:rsidRPr="00F10FEC">
        <w:t>Didinti vaikų ir paauglių užimtumą, įskaitant įvairias fizinio aktyvumo formas, taip mažinant jų sveikatą žalojantį elgesį (rūkymą ar kitą psichoaktyvių medžiagų vartojimą);</w:t>
      </w:r>
    </w:p>
    <w:p w:rsidR="00A241E3" w:rsidRDefault="00A241E3" w:rsidP="00A241E3">
      <w:pPr>
        <w:pStyle w:val="ListParagraph"/>
        <w:numPr>
          <w:ilvl w:val="0"/>
          <w:numId w:val="13"/>
        </w:numPr>
        <w:jc w:val="both"/>
      </w:pPr>
      <w:r>
        <w:t>Vykdyti fizinį aktyvumą skatinančią socialinės reklamos kampaniją, skirtą visoms Vilniaus rajono gyventojų amžiaus grupėms;</w:t>
      </w:r>
    </w:p>
    <w:p w:rsidR="00A241E3" w:rsidRDefault="00A241E3" w:rsidP="00A241E3">
      <w:pPr>
        <w:pStyle w:val="ListParagraph"/>
        <w:numPr>
          <w:ilvl w:val="0"/>
          <w:numId w:val="13"/>
        </w:numPr>
        <w:jc w:val="both"/>
      </w:pPr>
      <w:r>
        <w:t>Rengti nuolatines fizinio aktyvumo programas Vilniaus rajono savivaldybėje, skirtas įvairioms tikslinėms bendruomenių grupėms;</w:t>
      </w:r>
    </w:p>
    <w:p w:rsidR="00A241E3" w:rsidRPr="00F10FEC" w:rsidRDefault="00A241E3" w:rsidP="00A241E3">
      <w:pPr>
        <w:pStyle w:val="ListParagraph"/>
        <w:numPr>
          <w:ilvl w:val="0"/>
          <w:numId w:val="13"/>
        </w:numPr>
        <w:jc w:val="both"/>
      </w:pPr>
      <w:r>
        <w:t>Didinti Vilniaus rajono visų amžiaus grupių gyventojų informuotumą fizinio aktyvumo tema vykdant fizinio aktyvumo renginius, mokymus bei skleidžiant informacinę medžiagą kitomis formomis (prevenciniai filmai, plakatai, dalomoji medžiaga).</w:t>
      </w:r>
    </w:p>
    <w:p w:rsidR="00A241E3" w:rsidRDefault="00A241E3" w:rsidP="00A241E3">
      <w:pPr>
        <w:spacing w:after="0"/>
        <w:rPr>
          <w:szCs w:val="24"/>
        </w:rPr>
      </w:pPr>
    </w:p>
    <w:p w:rsidR="00A241E3" w:rsidRDefault="00A241E3" w:rsidP="00A241E3">
      <w:pPr>
        <w:spacing w:after="0"/>
        <w:rPr>
          <w:szCs w:val="24"/>
        </w:rPr>
      </w:pPr>
    </w:p>
    <w:p w:rsidR="00A241E3" w:rsidRPr="007F5072" w:rsidRDefault="00A241E3" w:rsidP="00A241E3">
      <w:pPr>
        <w:spacing w:after="0"/>
        <w:rPr>
          <w:b/>
          <w:szCs w:val="24"/>
        </w:rPr>
      </w:pPr>
      <w:r>
        <w:rPr>
          <w:b/>
          <w:szCs w:val="24"/>
        </w:rPr>
        <w:t>Psichoaktyviosios medžiagos (rūkymas, alkoholis)</w:t>
      </w:r>
    </w:p>
    <w:p w:rsidR="00A241E3" w:rsidRDefault="00A241E3" w:rsidP="00A241E3">
      <w:pPr>
        <w:spacing w:after="0"/>
        <w:rPr>
          <w:b/>
          <w:szCs w:val="24"/>
        </w:rPr>
      </w:pPr>
    </w:p>
    <w:p w:rsidR="00A241E3" w:rsidRDefault="00A241E3" w:rsidP="00A241E3">
      <w:pPr>
        <w:spacing w:after="0"/>
        <w:ind w:firstLine="567"/>
        <w:jc w:val="both"/>
        <w:rPr>
          <w:szCs w:val="24"/>
        </w:rPr>
      </w:pPr>
      <w:r w:rsidRPr="005470B5">
        <w:rPr>
          <w:b/>
          <w:i/>
          <w:szCs w:val="24"/>
        </w:rPr>
        <w:t>Rūkymas</w:t>
      </w:r>
      <w:r w:rsidRPr="00BB2837">
        <w:rPr>
          <w:szCs w:val="24"/>
        </w:rPr>
        <w:t xml:space="preserve"> – vienas labiausiai paplitusių širdies ir kraujagyslių, kvėpavimo sistemos ligų rizikos veiksnių 20 – 64 metų amžiaus žmonėms.</w:t>
      </w:r>
    </w:p>
    <w:p w:rsidR="00A241E3" w:rsidRDefault="00A241E3" w:rsidP="00A241E3">
      <w:pPr>
        <w:spacing w:after="0"/>
        <w:ind w:firstLine="567"/>
        <w:jc w:val="both"/>
        <w:rPr>
          <w:szCs w:val="24"/>
        </w:rPr>
      </w:pPr>
      <w:r w:rsidRPr="002C3D7E">
        <w:rPr>
          <w:b/>
          <w:i/>
          <w:szCs w:val="24"/>
        </w:rPr>
        <w:t>Alkoholio vartojimas</w:t>
      </w:r>
      <w:r>
        <w:rPr>
          <w:szCs w:val="24"/>
        </w:rPr>
        <w:t xml:space="preserve"> didina traumų, nelaimingų atsitikimų ir apsinuodijimų pavojų, gali sukelti priklausomybę bei yra daugelio lėtinių neinfekcinių ligų, tarp jų ir kraujotakos sistemos, rizikos veiksnys.</w:t>
      </w:r>
    </w:p>
    <w:p w:rsidR="00A241E3" w:rsidRDefault="00A241E3" w:rsidP="00A241E3">
      <w:pPr>
        <w:spacing w:after="0"/>
        <w:rPr>
          <w:szCs w:val="24"/>
        </w:rPr>
      </w:pPr>
    </w:p>
    <w:p w:rsidR="00306554" w:rsidRDefault="00306554" w:rsidP="00A241E3">
      <w:pPr>
        <w:spacing w:after="0"/>
        <w:rPr>
          <w:szCs w:val="24"/>
        </w:rPr>
      </w:pPr>
    </w:p>
    <w:p w:rsidR="00306554" w:rsidRDefault="00306554" w:rsidP="00A241E3">
      <w:pPr>
        <w:spacing w:after="0"/>
        <w:rPr>
          <w:szCs w:val="24"/>
        </w:rPr>
      </w:pPr>
    </w:p>
    <w:p w:rsidR="00A241E3" w:rsidRDefault="00A241E3" w:rsidP="00A241E3">
      <w:pPr>
        <w:spacing w:after="0"/>
        <w:rPr>
          <w:szCs w:val="24"/>
          <w:u w:val="single"/>
        </w:rPr>
      </w:pPr>
      <w:r w:rsidRPr="007D338B">
        <w:rPr>
          <w:szCs w:val="24"/>
          <w:u w:val="single"/>
        </w:rPr>
        <w:lastRenderedPageBreak/>
        <w:t>Rekomendacijos</w:t>
      </w:r>
      <w:r w:rsidR="00306554">
        <w:rPr>
          <w:szCs w:val="24"/>
          <w:u w:val="single"/>
        </w:rPr>
        <w:t>:</w:t>
      </w:r>
    </w:p>
    <w:p w:rsidR="00A241E3" w:rsidRPr="005470B5" w:rsidRDefault="00A241E3" w:rsidP="00A241E3">
      <w:pPr>
        <w:pStyle w:val="ListParagraph"/>
        <w:numPr>
          <w:ilvl w:val="0"/>
          <w:numId w:val="16"/>
        </w:numPr>
        <w:jc w:val="both"/>
      </w:pPr>
      <w:r>
        <w:t>Vykdyti socialinės reklamos kampaniją, nukreiptą prieš psichoaktyviųjų medžiagų vartojimą, kuri būtų skirta visoms Vilniaus rajono gyventojų amžiaus grupėms;</w:t>
      </w:r>
    </w:p>
    <w:p w:rsidR="00A241E3" w:rsidRPr="005470B5" w:rsidRDefault="00A241E3" w:rsidP="00A241E3">
      <w:pPr>
        <w:pStyle w:val="ListParagraph"/>
        <w:numPr>
          <w:ilvl w:val="0"/>
          <w:numId w:val="16"/>
        </w:numPr>
        <w:jc w:val="both"/>
        <w:rPr>
          <w:lang w:val="lt-LT"/>
        </w:rPr>
      </w:pPr>
      <w:r>
        <w:rPr>
          <w:lang w:val="lt-LT"/>
        </w:rPr>
        <w:t>Organizuoti kitas švietimo priemones (mokymus, renginius, akcijas,</w:t>
      </w:r>
      <w:r w:rsidRPr="00F84E0D">
        <w:rPr>
          <w:lang w:val="lt-LT"/>
        </w:rPr>
        <w:t xml:space="preserve"> </w:t>
      </w:r>
      <w:r>
        <w:rPr>
          <w:lang w:val="lt-LT"/>
        </w:rPr>
        <w:t>leidinius), skirtas ugdymui ir mokymui, informacijos apie neigiamą psichoaktyvių medžiagų poveikį sveikatai skleidimui;</w:t>
      </w:r>
    </w:p>
    <w:p w:rsidR="00A241E3" w:rsidRPr="005470B5" w:rsidRDefault="00A241E3" w:rsidP="00A241E3">
      <w:pPr>
        <w:pStyle w:val="ListParagraph"/>
        <w:numPr>
          <w:ilvl w:val="0"/>
          <w:numId w:val="16"/>
        </w:numPr>
        <w:jc w:val="both"/>
      </w:pPr>
      <w:r w:rsidRPr="005470B5">
        <w:t>Šviesti mokinių tėvus ir skatinti juos aktyviai dalyvauti psichoaktyviųjų medžiagų vartojimo prevencijoje;</w:t>
      </w:r>
    </w:p>
    <w:p w:rsidR="00A241E3" w:rsidRDefault="00A241E3" w:rsidP="00A241E3">
      <w:pPr>
        <w:pStyle w:val="ListParagraph"/>
        <w:numPr>
          <w:ilvl w:val="0"/>
          <w:numId w:val="16"/>
        </w:numPr>
        <w:jc w:val="both"/>
      </w:pPr>
      <w:r w:rsidRPr="005470B5">
        <w:t>Stiprinti šeimos vaidmenį ugdant gebantį sveikai gyventi, alkoholio, tabako ir kitų psichoaktyviųjų medžiagų nevartojantį asmenį;</w:t>
      </w:r>
    </w:p>
    <w:p w:rsidR="00A241E3" w:rsidRPr="00E82ED4" w:rsidRDefault="00A241E3" w:rsidP="00A241E3">
      <w:pPr>
        <w:pStyle w:val="ListParagraph"/>
        <w:numPr>
          <w:ilvl w:val="0"/>
          <w:numId w:val="16"/>
        </w:numPr>
        <w:jc w:val="both"/>
      </w:pPr>
      <w:r>
        <w:t>Sugriežtinti psichoaktyvių medžiagų vartojimo kontrolę viešose vietose bei ugdymo įstaigų teritorijose;</w:t>
      </w:r>
    </w:p>
    <w:p w:rsidR="00A241E3" w:rsidRDefault="00A241E3" w:rsidP="00A241E3">
      <w:pPr>
        <w:pStyle w:val="ListParagraph"/>
        <w:numPr>
          <w:ilvl w:val="0"/>
          <w:numId w:val="16"/>
        </w:numPr>
        <w:jc w:val="both"/>
      </w:pPr>
      <w:r>
        <w:t>Bendradarbiauti su kitomis institucijomis bei NVO psichoaktyviųjų medžiagų prevencijos srityje;</w:t>
      </w:r>
    </w:p>
    <w:p w:rsidR="00A241E3" w:rsidRDefault="00A241E3" w:rsidP="00A241E3">
      <w:pPr>
        <w:pStyle w:val="ListParagraph"/>
        <w:numPr>
          <w:ilvl w:val="0"/>
          <w:numId w:val="16"/>
        </w:numPr>
        <w:jc w:val="both"/>
      </w:pPr>
      <w:r>
        <w:t>Didinti nerūkymo zonų Vilniaus rajono savivaldybėje skaičių, išskiriant jas draudžiamaisiais ženklais, nurodant daugiau informacijos apie administracinę atsakomybę;</w:t>
      </w:r>
    </w:p>
    <w:p w:rsidR="00A241E3" w:rsidRDefault="00A241E3" w:rsidP="00A241E3">
      <w:pPr>
        <w:pStyle w:val="ListParagraph"/>
        <w:numPr>
          <w:ilvl w:val="0"/>
          <w:numId w:val="16"/>
        </w:numPr>
        <w:jc w:val="both"/>
      </w:pPr>
      <w:r>
        <w:t>Didinti akcizą alkoholiniams gėrimams;</w:t>
      </w:r>
    </w:p>
    <w:p w:rsidR="00A241E3" w:rsidRDefault="00A241E3" w:rsidP="00A241E3">
      <w:pPr>
        <w:pStyle w:val="ListParagraph"/>
        <w:numPr>
          <w:ilvl w:val="0"/>
          <w:numId w:val="16"/>
        </w:numPr>
        <w:jc w:val="both"/>
      </w:pPr>
      <w:r>
        <w:t>Mažinti alkoholinių gėrimų prieinamumą: sugriežtinti kontrolę asmenų, perkančių alkoholinius gėrimus; mažinti įmonių, turinčių licenciją prekiauti alkoholiniais gėrimais, skaičių;</w:t>
      </w:r>
    </w:p>
    <w:p w:rsidR="00A241E3" w:rsidRDefault="00A241E3" w:rsidP="00A241E3">
      <w:pPr>
        <w:pStyle w:val="ListParagraph"/>
        <w:numPr>
          <w:ilvl w:val="0"/>
          <w:numId w:val="16"/>
        </w:numPr>
        <w:jc w:val="both"/>
      </w:pPr>
      <w:r>
        <w:t xml:space="preserve">Patikslinti </w:t>
      </w:r>
      <w:r>
        <w:rPr>
          <w:lang w:val="lt-LT"/>
        </w:rPr>
        <w:t>„</w:t>
      </w:r>
      <w:r>
        <w:t>MAITINIMO ĮSTAIGOS” apibrėžimą taip užkertant kelią nelegaliai alkoholinių gėrimų prekybai po 22 val.;</w:t>
      </w:r>
    </w:p>
    <w:p w:rsidR="00A241E3" w:rsidRPr="00045A64" w:rsidRDefault="00A241E3" w:rsidP="00A241E3">
      <w:pPr>
        <w:pStyle w:val="ListParagraph"/>
        <w:numPr>
          <w:ilvl w:val="0"/>
          <w:numId w:val="16"/>
        </w:numPr>
        <w:jc w:val="both"/>
      </w:pPr>
      <w:r>
        <w:t>Drausti visapusišką alkoholinių gėrimų reklamavimą.</w:t>
      </w:r>
    </w:p>
    <w:p w:rsidR="004D0939" w:rsidRDefault="004D0939" w:rsidP="00A241E3">
      <w:pPr>
        <w:pStyle w:val="NoSpacing"/>
        <w:rPr>
          <w:rFonts w:cs="Times New Roman"/>
          <w:szCs w:val="24"/>
          <w:lang w:val="lt-LT"/>
        </w:rPr>
      </w:pPr>
    </w:p>
    <w:p w:rsidR="004D0939" w:rsidRDefault="004D0939" w:rsidP="00A241E3">
      <w:pPr>
        <w:pStyle w:val="NoSpacing"/>
        <w:rPr>
          <w:rFonts w:cs="Times New Roman"/>
          <w:szCs w:val="24"/>
          <w:lang w:val="lt-LT"/>
        </w:rPr>
      </w:pPr>
    </w:p>
    <w:p w:rsidR="00A241E3" w:rsidRPr="00306554" w:rsidRDefault="00306554" w:rsidP="004A7C46">
      <w:pPr>
        <w:pStyle w:val="NoSpacing"/>
        <w:ind w:firstLine="720"/>
        <w:rPr>
          <w:rFonts w:cs="Times New Roman"/>
          <w:b/>
          <w:szCs w:val="24"/>
          <w:lang w:val="lt-LT"/>
        </w:rPr>
      </w:pPr>
      <w:r w:rsidRPr="00306554">
        <w:rPr>
          <w:rFonts w:cs="Times New Roman"/>
          <w:b/>
          <w:szCs w:val="24"/>
          <w:lang w:val="lt-LT"/>
        </w:rPr>
        <w:t>Fizinės aplinkos veiksniai</w:t>
      </w:r>
    </w:p>
    <w:p w:rsidR="00A241E3" w:rsidRPr="00AA54E5" w:rsidRDefault="00A241E3" w:rsidP="00A241E3">
      <w:pPr>
        <w:pStyle w:val="NoSpacing"/>
        <w:rPr>
          <w:rFonts w:cs="Times New Roman"/>
          <w:szCs w:val="24"/>
          <w:lang w:val="lt-LT"/>
        </w:rPr>
      </w:pPr>
    </w:p>
    <w:p w:rsidR="00A241E3" w:rsidRPr="004F38D5" w:rsidRDefault="00A241E3" w:rsidP="004A7C46">
      <w:pPr>
        <w:pStyle w:val="NoSpacing"/>
        <w:ind w:firstLine="720"/>
        <w:rPr>
          <w:rFonts w:cs="Times New Roman"/>
          <w:szCs w:val="24"/>
        </w:rPr>
      </w:pPr>
      <w:r w:rsidRPr="004F38D5">
        <w:rPr>
          <w:rFonts w:cs="Times New Roman"/>
          <w:b/>
          <w:szCs w:val="24"/>
        </w:rPr>
        <w:t>Maudykl</w:t>
      </w:r>
      <w:r w:rsidRPr="004F38D5">
        <w:rPr>
          <w:rFonts w:cs="Times New Roman"/>
          <w:b/>
          <w:szCs w:val="24"/>
          <w:lang w:val="lt-LT"/>
        </w:rPr>
        <w:t>os</w:t>
      </w:r>
    </w:p>
    <w:p w:rsidR="002312F6" w:rsidRPr="004D0939" w:rsidRDefault="002312F6" w:rsidP="0030693D">
      <w:pPr>
        <w:spacing w:before="100" w:beforeAutospacing="1" w:after="100" w:afterAutospacing="1"/>
        <w:ind w:firstLine="567"/>
        <w:jc w:val="both"/>
        <w:rPr>
          <w:rFonts w:eastAsia="Times New Roman"/>
          <w:b/>
          <w:szCs w:val="24"/>
        </w:rPr>
      </w:pPr>
      <w:r>
        <w:rPr>
          <w:szCs w:val="24"/>
        </w:rPr>
        <w:t xml:space="preserve"> 2011 </w:t>
      </w:r>
      <w:r w:rsidRPr="003032D8">
        <w:rPr>
          <w:rFonts w:eastAsia="Times New Roman"/>
          <w:szCs w:val="24"/>
        </w:rPr>
        <w:t xml:space="preserve">m. vandens kokybiniai tyrimai </w:t>
      </w:r>
      <w:r w:rsidR="004D0939">
        <w:rPr>
          <w:rFonts w:eastAsia="Times New Roman"/>
          <w:szCs w:val="24"/>
        </w:rPr>
        <w:t xml:space="preserve">Vilniaus rajone </w:t>
      </w:r>
      <w:r>
        <w:rPr>
          <w:rFonts w:eastAsia="Times New Roman"/>
          <w:szCs w:val="24"/>
        </w:rPr>
        <w:t>atli</w:t>
      </w:r>
      <w:r w:rsidRPr="003032D8">
        <w:rPr>
          <w:rFonts w:eastAsia="Times New Roman"/>
          <w:szCs w:val="24"/>
        </w:rPr>
        <w:t>k</w:t>
      </w:r>
      <w:r>
        <w:rPr>
          <w:rFonts w:eastAsia="Times New Roman"/>
          <w:szCs w:val="24"/>
        </w:rPr>
        <w:t>t</w:t>
      </w:r>
      <w:r w:rsidRPr="003032D8">
        <w:rPr>
          <w:rFonts w:eastAsia="Times New Roman"/>
          <w:szCs w:val="24"/>
        </w:rPr>
        <w:t xml:space="preserve">i šiuose labiausiai lankomuose  vandens telkiniuose: Gėlos ež. (Tusčiaustų k., Nemenčinės sen.), Vilnojos ež.(Sudervės k., Sudervės sen.), Asvejos ež.(Žingių k., Sužionių sen.) ir Ilgučių ež.(Mažųjų lygainių k.,Pagirių sen.). Dėl </w:t>
      </w:r>
      <w:r>
        <w:rPr>
          <w:rFonts w:eastAsia="Times New Roman"/>
          <w:szCs w:val="24"/>
        </w:rPr>
        <w:t>didelio</w:t>
      </w:r>
      <w:r w:rsidRPr="003032D8">
        <w:rPr>
          <w:rFonts w:eastAsia="Times New Roman"/>
          <w:szCs w:val="24"/>
        </w:rPr>
        <w:t xml:space="preserve"> lankytojų skaičiaus pirmą kartą pradėti tirti ir Prūdiškių tv. (Prūdiškių k., Juodšilių sen.).</w:t>
      </w:r>
      <w:r w:rsidR="004D0939">
        <w:rPr>
          <w:rFonts w:eastAsia="Times New Roman"/>
          <w:szCs w:val="24"/>
        </w:rPr>
        <w:t xml:space="preserve"> </w:t>
      </w:r>
      <w:r w:rsidR="004D0939" w:rsidRPr="004D0939">
        <w:rPr>
          <w:rFonts w:eastAsia="Times New Roman"/>
          <w:b/>
          <w:szCs w:val="24"/>
        </w:rPr>
        <w:t>Nei vienas iš šių paplūdimių nėra oficialiai įteisintas.</w:t>
      </w:r>
    </w:p>
    <w:p w:rsidR="00A241E3" w:rsidRPr="00AA54E5" w:rsidRDefault="00A241E3" w:rsidP="0030693D">
      <w:pPr>
        <w:pStyle w:val="NoSpacing"/>
        <w:ind w:firstLine="567"/>
        <w:jc w:val="both"/>
        <w:rPr>
          <w:rFonts w:cs="Times New Roman"/>
          <w:szCs w:val="24"/>
          <w:lang w:val="lt-LT"/>
        </w:rPr>
      </w:pPr>
      <w:r w:rsidRPr="00AA54E5">
        <w:rPr>
          <w:rFonts w:cs="Times New Roman"/>
          <w:szCs w:val="24"/>
        </w:rPr>
        <w:t>Didel</w:t>
      </w:r>
      <w:r w:rsidRPr="00AA54E5">
        <w:rPr>
          <w:rFonts w:cs="Times New Roman"/>
          <w:szCs w:val="24"/>
          <w:lang w:val="lt-LT"/>
        </w:rPr>
        <w:t xml:space="preserve">ė problema išlieka šiukšlių tvarkymas, </w:t>
      </w:r>
      <w:r>
        <w:rPr>
          <w:rFonts w:cs="Times New Roman"/>
          <w:szCs w:val="24"/>
          <w:lang w:val="lt-LT"/>
        </w:rPr>
        <w:t xml:space="preserve">alkoholio vartojimo kontrolė, </w:t>
      </w:r>
      <w:r w:rsidRPr="00AA54E5">
        <w:rPr>
          <w:rFonts w:cs="Times New Roman"/>
          <w:szCs w:val="24"/>
          <w:lang w:val="lt-LT"/>
        </w:rPr>
        <w:t>šunų maudymas.</w:t>
      </w:r>
    </w:p>
    <w:p w:rsidR="00A241E3" w:rsidRPr="00AA54E5" w:rsidRDefault="00A241E3" w:rsidP="0030693D">
      <w:pPr>
        <w:pStyle w:val="NoSpacing"/>
        <w:ind w:left="720"/>
        <w:jc w:val="both"/>
        <w:rPr>
          <w:rFonts w:cs="Times New Roman"/>
          <w:b/>
          <w:szCs w:val="24"/>
          <w:lang w:val="lt-LT"/>
        </w:rPr>
      </w:pPr>
    </w:p>
    <w:p w:rsidR="00A241E3" w:rsidRDefault="00A241E3" w:rsidP="004A7C46">
      <w:pPr>
        <w:pStyle w:val="NoSpacing"/>
        <w:jc w:val="both"/>
        <w:rPr>
          <w:rFonts w:cs="Times New Roman"/>
          <w:szCs w:val="24"/>
          <w:u w:val="single"/>
          <w:lang w:val="lt-LT"/>
        </w:rPr>
      </w:pPr>
      <w:r w:rsidRPr="002D1416">
        <w:rPr>
          <w:rFonts w:cs="Times New Roman"/>
          <w:szCs w:val="24"/>
          <w:u w:val="single"/>
          <w:lang w:val="lt-LT"/>
        </w:rPr>
        <w:t>Rekomendacijos:</w:t>
      </w:r>
    </w:p>
    <w:p w:rsidR="00A241E3" w:rsidRPr="00A241E3" w:rsidRDefault="00A241E3" w:rsidP="0030693D">
      <w:pPr>
        <w:pStyle w:val="NoSpacing"/>
        <w:numPr>
          <w:ilvl w:val="0"/>
          <w:numId w:val="20"/>
        </w:numPr>
        <w:jc w:val="both"/>
        <w:rPr>
          <w:rFonts w:cs="Times New Roman"/>
          <w:szCs w:val="24"/>
        </w:rPr>
      </w:pPr>
      <w:r>
        <w:rPr>
          <w:rFonts w:cs="Times New Roman"/>
          <w:szCs w:val="24"/>
        </w:rPr>
        <w:t xml:space="preserve">Siūlome oficialiai </w:t>
      </w:r>
      <w:r w:rsidR="004D0939">
        <w:rPr>
          <w:rFonts w:cs="Times New Roman"/>
          <w:szCs w:val="24"/>
          <w:lang w:val="lt-LT"/>
        </w:rPr>
        <w:t>įteisinti abu Gėlos ež. p</w:t>
      </w:r>
      <w:r>
        <w:rPr>
          <w:rFonts w:cs="Times New Roman"/>
          <w:szCs w:val="24"/>
          <w:lang w:val="lt-LT"/>
        </w:rPr>
        <w:t>ap</w:t>
      </w:r>
      <w:r w:rsidR="004D0939">
        <w:rPr>
          <w:rFonts w:cs="Times New Roman"/>
          <w:szCs w:val="24"/>
          <w:lang w:val="lt-LT"/>
        </w:rPr>
        <w:t>lūdimius</w:t>
      </w:r>
      <w:r>
        <w:rPr>
          <w:rFonts w:cs="Times New Roman"/>
          <w:szCs w:val="24"/>
          <w:lang w:val="lt-LT"/>
        </w:rPr>
        <w:t>;</w:t>
      </w:r>
    </w:p>
    <w:p w:rsidR="00A241E3" w:rsidRPr="00AA54E5" w:rsidRDefault="00A241E3" w:rsidP="0030693D">
      <w:pPr>
        <w:pStyle w:val="NoSpacing"/>
        <w:numPr>
          <w:ilvl w:val="0"/>
          <w:numId w:val="20"/>
        </w:numPr>
        <w:jc w:val="both"/>
        <w:rPr>
          <w:rFonts w:cs="Times New Roman"/>
          <w:szCs w:val="24"/>
        </w:rPr>
      </w:pPr>
      <w:r w:rsidRPr="00AA54E5">
        <w:rPr>
          <w:rFonts w:cs="Times New Roman"/>
          <w:szCs w:val="24"/>
          <w:lang w:val="lt-LT"/>
        </w:rPr>
        <w:t xml:space="preserve">Vadovaujantis </w:t>
      </w:r>
      <w:r w:rsidRPr="00AA54E5">
        <w:rPr>
          <w:rFonts w:cs="Times New Roman"/>
          <w:szCs w:val="24"/>
        </w:rPr>
        <w:t>HN 92:2007 „Paplūdimiai ir jų maudyklų vandens kokybė”reikt</w:t>
      </w:r>
      <w:r w:rsidRPr="00AA54E5">
        <w:rPr>
          <w:rFonts w:cs="Times New Roman"/>
          <w:szCs w:val="24"/>
          <w:lang w:val="lt-LT"/>
        </w:rPr>
        <w:t xml:space="preserve">ų atlikti po </w:t>
      </w:r>
      <w:r w:rsidRPr="00AA54E5">
        <w:rPr>
          <w:rFonts w:cs="Times New Roman"/>
          <w:szCs w:val="24"/>
        </w:rPr>
        <w:t>8 vandens kokybinius tyrimus oficialiai</w:t>
      </w:r>
      <w:r w:rsidRPr="00AA54E5">
        <w:rPr>
          <w:rFonts w:cs="Times New Roman"/>
          <w:szCs w:val="24"/>
          <w:lang w:val="lt-LT"/>
        </w:rPr>
        <w:t xml:space="preserve"> įteisintose maudyklose;</w:t>
      </w:r>
    </w:p>
    <w:p w:rsidR="00A241E3" w:rsidRPr="00AA54E5" w:rsidRDefault="00A241E3" w:rsidP="0030693D">
      <w:pPr>
        <w:pStyle w:val="NoSpacing"/>
        <w:numPr>
          <w:ilvl w:val="0"/>
          <w:numId w:val="20"/>
        </w:numPr>
        <w:jc w:val="both"/>
        <w:rPr>
          <w:rFonts w:cs="Times New Roman"/>
          <w:szCs w:val="24"/>
        </w:rPr>
      </w:pPr>
      <w:r w:rsidRPr="00AA54E5">
        <w:rPr>
          <w:rFonts w:cs="Times New Roman"/>
          <w:szCs w:val="24"/>
          <w:lang w:val="lt-LT"/>
        </w:rPr>
        <w:t xml:space="preserve">Prižiūrint tvarką ir švarą paplūdimiuose vadovautis </w:t>
      </w:r>
      <w:r w:rsidRPr="00AA54E5">
        <w:rPr>
          <w:rFonts w:cs="Times New Roman"/>
          <w:szCs w:val="24"/>
        </w:rPr>
        <w:t>HN 92:2007 „Paplūdimiai ir jų maudyklų vandens kokybė”;</w:t>
      </w:r>
    </w:p>
    <w:p w:rsidR="00A241E3" w:rsidRPr="00AA54E5" w:rsidRDefault="00A241E3" w:rsidP="0030693D">
      <w:pPr>
        <w:pStyle w:val="NoSpacing"/>
        <w:numPr>
          <w:ilvl w:val="0"/>
          <w:numId w:val="20"/>
        </w:numPr>
        <w:jc w:val="both"/>
        <w:rPr>
          <w:rFonts w:cs="Times New Roman"/>
          <w:szCs w:val="24"/>
        </w:rPr>
      </w:pPr>
      <w:r w:rsidRPr="00AA54E5">
        <w:rPr>
          <w:rFonts w:cs="Times New Roman"/>
          <w:szCs w:val="24"/>
        </w:rPr>
        <w:t>Pastatyti ženklus matomoje vietoje (šalia vandens), draudžiančius vestis ir maudyti šunis;</w:t>
      </w:r>
    </w:p>
    <w:p w:rsidR="00A241E3" w:rsidRDefault="00A241E3" w:rsidP="0030693D">
      <w:pPr>
        <w:pStyle w:val="NoSpacing"/>
        <w:jc w:val="both"/>
        <w:rPr>
          <w:rFonts w:cs="Times New Roman"/>
          <w:i/>
          <w:szCs w:val="24"/>
        </w:rPr>
      </w:pPr>
    </w:p>
    <w:p w:rsidR="004A7C46" w:rsidRDefault="004A7C46" w:rsidP="0030693D">
      <w:pPr>
        <w:pStyle w:val="NoSpacing"/>
        <w:jc w:val="both"/>
        <w:rPr>
          <w:rFonts w:cs="Times New Roman"/>
          <w:i/>
          <w:szCs w:val="24"/>
        </w:rPr>
      </w:pPr>
    </w:p>
    <w:p w:rsidR="004A7C46" w:rsidRPr="00AA54E5" w:rsidRDefault="004A7C46" w:rsidP="0030693D">
      <w:pPr>
        <w:pStyle w:val="NoSpacing"/>
        <w:jc w:val="both"/>
        <w:rPr>
          <w:rFonts w:cs="Times New Roman"/>
          <w:i/>
          <w:szCs w:val="24"/>
        </w:rPr>
      </w:pPr>
    </w:p>
    <w:p w:rsidR="00A241E3" w:rsidRPr="004F38D5" w:rsidRDefault="00A241E3" w:rsidP="004A7C46">
      <w:pPr>
        <w:spacing w:after="0"/>
        <w:jc w:val="both"/>
        <w:rPr>
          <w:b/>
          <w:szCs w:val="24"/>
        </w:rPr>
      </w:pPr>
      <w:r w:rsidRPr="004F38D5">
        <w:rPr>
          <w:b/>
          <w:szCs w:val="24"/>
        </w:rPr>
        <w:lastRenderedPageBreak/>
        <w:t>Šulinių vandens kokybė</w:t>
      </w:r>
    </w:p>
    <w:p w:rsidR="00A241E3" w:rsidRPr="00AA54E5" w:rsidRDefault="00A241E3" w:rsidP="004A7C46">
      <w:pPr>
        <w:pStyle w:val="ListParagraph"/>
        <w:numPr>
          <w:ilvl w:val="0"/>
          <w:numId w:val="19"/>
        </w:numPr>
        <w:jc w:val="both"/>
        <w:rPr>
          <w:lang w:val="lt-LT"/>
        </w:rPr>
      </w:pPr>
      <w:r w:rsidRPr="00AA54E5">
        <w:t xml:space="preserve">Pakankamai dažnai pasitaikanti problema - tarša nitratais išlieka aktuali. </w:t>
      </w:r>
      <w:r w:rsidRPr="00AA54E5">
        <w:rPr>
          <w:lang w:val="lt-LT"/>
        </w:rPr>
        <w:t xml:space="preserve">Todėl ypač nėščioms moterims ir kūdikiams iki </w:t>
      </w:r>
      <w:r w:rsidRPr="00AA54E5">
        <w:t>6 mėn.</w:t>
      </w:r>
      <w:r w:rsidRPr="00AA54E5">
        <w:rPr>
          <w:lang w:val="lt-LT"/>
        </w:rPr>
        <w:t xml:space="preserve"> nerekomenduojama vartoti nitritais ir nitratais užteršto vandens.  </w:t>
      </w:r>
    </w:p>
    <w:p w:rsidR="00A241E3" w:rsidRPr="004F38D5" w:rsidRDefault="00A241E3" w:rsidP="004A7C46">
      <w:pPr>
        <w:pStyle w:val="ListParagraph"/>
        <w:jc w:val="both"/>
        <w:rPr>
          <w:lang w:val="lt-LT"/>
        </w:rPr>
      </w:pPr>
    </w:p>
    <w:p w:rsidR="00A241E3" w:rsidRPr="004A7C46" w:rsidRDefault="00A241E3" w:rsidP="004A7C46">
      <w:pPr>
        <w:spacing w:after="0"/>
        <w:jc w:val="both"/>
        <w:rPr>
          <w:u w:val="single"/>
          <w:lang w:val="lt-LT"/>
        </w:rPr>
      </w:pPr>
      <w:r w:rsidRPr="004A7C46">
        <w:rPr>
          <w:u w:val="single"/>
          <w:lang w:val="lt-LT"/>
        </w:rPr>
        <w:t>Rekomendacijos:</w:t>
      </w:r>
    </w:p>
    <w:p w:rsidR="00A241E3" w:rsidRPr="004F38D5" w:rsidRDefault="00A241E3" w:rsidP="004A7C46">
      <w:pPr>
        <w:pStyle w:val="ListParagraph"/>
        <w:numPr>
          <w:ilvl w:val="0"/>
          <w:numId w:val="19"/>
        </w:numPr>
        <w:jc w:val="both"/>
      </w:pPr>
      <w:r w:rsidRPr="004F38D5">
        <w:rPr>
          <w:lang w:val="lt-LT"/>
        </w:rPr>
        <w:t xml:space="preserve">Informuoti žmones apie </w:t>
      </w:r>
      <w:r>
        <w:rPr>
          <w:lang w:val="lt-LT"/>
        </w:rPr>
        <w:t>nitratų ir nitritų pavojų</w:t>
      </w:r>
      <w:r w:rsidRPr="004F38D5">
        <w:rPr>
          <w:lang w:val="lt-LT"/>
        </w:rPr>
        <w:t>;</w:t>
      </w:r>
    </w:p>
    <w:p w:rsidR="00A241E3" w:rsidRPr="00364937" w:rsidRDefault="00A241E3" w:rsidP="004A7C46">
      <w:pPr>
        <w:pStyle w:val="ListParagraph"/>
        <w:numPr>
          <w:ilvl w:val="0"/>
          <w:numId w:val="19"/>
        </w:numPr>
        <w:jc w:val="both"/>
      </w:pPr>
      <w:r>
        <w:rPr>
          <w:lang w:val="lt-LT"/>
        </w:rPr>
        <w:t>S</w:t>
      </w:r>
      <w:r w:rsidRPr="004F38D5">
        <w:rPr>
          <w:lang w:val="lt-LT"/>
        </w:rPr>
        <w:t>katinti</w:t>
      </w:r>
      <w:r>
        <w:rPr>
          <w:lang w:val="lt-LT"/>
        </w:rPr>
        <w:t xml:space="preserve"> vartotojus</w:t>
      </w:r>
      <w:r w:rsidRPr="004F38D5">
        <w:rPr>
          <w:lang w:val="lt-LT"/>
        </w:rPr>
        <w:t xml:space="preserve"> tikrintis šulinių geriamojo vandens kokybę. </w:t>
      </w:r>
    </w:p>
    <w:p w:rsidR="004D0939" w:rsidRDefault="004D0939" w:rsidP="00A241E3">
      <w:pPr>
        <w:jc w:val="both"/>
        <w:rPr>
          <w:sz w:val="32"/>
          <w:szCs w:val="32"/>
          <w:lang w:val="lt-LT"/>
        </w:rPr>
      </w:pPr>
    </w:p>
    <w:p w:rsidR="00A241E3" w:rsidRPr="004A7C46" w:rsidRDefault="004A7C46" w:rsidP="004A7C46">
      <w:pPr>
        <w:ind w:firstLine="720"/>
        <w:jc w:val="both"/>
        <w:rPr>
          <w:b/>
          <w:sz w:val="28"/>
          <w:szCs w:val="28"/>
          <w:lang w:val="lt-LT"/>
        </w:rPr>
      </w:pPr>
      <w:r w:rsidRPr="004A7C46">
        <w:rPr>
          <w:b/>
          <w:sz w:val="28"/>
          <w:szCs w:val="28"/>
          <w:lang w:val="lt-LT"/>
        </w:rPr>
        <w:t>Sveikatos priežiūros sistemos raida</w:t>
      </w:r>
    </w:p>
    <w:p w:rsidR="00E72167" w:rsidRDefault="00E72167" w:rsidP="00E72167">
      <w:pPr>
        <w:jc w:val="both"/>
      </w:pPr>
      <w:r w:rsidRPr="00DA37A8">
        <w:tab/>
        <w:t xml:space="preserve">Vilniaus </w:t>
      </w:r>
      <w:r>
        <w:t xml:space="preserve">rajone sveikatos sistemos ištekliai (LSIC duomenimis) vieni mažiausių. Tai lemia nedidelis asmens sveikatos priežiūros įstaigų tinklas, kuriame dominuoja pirminė asmens sveikatos priežiūra. Vilniaus rajonas šalia Vilniaus miesto, kuriame koncentruotas asmens sveikatos priežiūros įstaigų tinklas. Reiktų atskirai įvertinti kiek paslaugos Vilniaus miesto sveikatos priežiūros įstaigose prieinamos Vilniaus rajono gyventojams, ar patogus susisiekimas, ar tolygiai prieinama pirminė sveikatos priežiūra, ar pakanka greitosios medicinos pagalbos išteklių vežant gyventojus į Vilniaus miesto įstaigas. </w:t>
      </w:r>
    </w:p>
    <w:p w:rsidR="00E72167" w:rsidRDefault="00E72167" w:rsidP="00E72167">
      <w:pPr>
        <w:jc w:val="both"/>
      </w:pPr>
      <w:r>
        <w:tab/>
        <w:t>Galima būtų paskatinti gyventojus ateiti pasitikrinti dėl ankstyvojo vėžio nustatymo pagal valstybines prevencines programas.</w:t>
      </w:r>
    </w:p>
    <w:p w:rsidR="00E72167" w:rsidRPr="00DA37A8" w:rsidRDefault="00E72167" w:rsidP="00E72167">
      <w:pPr>
        <w:jc w:val="both"/>
      </w:pPr>
      <w:r>
        <w:tab/>
      </w:r>
    </w:p>
    <w:p w:rsidR="00F061E6" w:rsidRPr="00E40D1D" w:rsidRDefault="00F061E6" w:rsidP="00E72167">
      <w:pPr>
        <w:jc w:val="center"/>
        <w:rPr>
          <w:sz w:val="40"/>
          <w:szCs w:val="40"/>
        </w:rPr>
      </w:pPr>
    </w:p>
    <w:sectPr w:rsidR="00F061E6" w:rsidRPr="00E40D1D" w:rsidSect="009B4765">
      <w:footerReference w:type="default" r:id="rId70"/>
      <w:pgSz w:w="12240" w:h="15840"/>
      <w:pgMar w:top="1134" w:right="851"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76D" w:rsidRDefault="00C9276D" w:rsidP="002750B8">
      <w:pPr>
        <w:spacing w:after="0"/>
      </w:pPr>
      <w:r>
        <w:separator/>
      </w:r>
    </w:p>
  </w:endnote>
  <w:endnote w:type="continuationSeparator" w:id="1">
    <w:p w:rsidR="00C9276D" w:rsidRDefault="00C9276D" w:rsidP="002750B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3F" w:csb1="00000000"/>
  </w:font>
  <w:font w:name="ArialMT">
    <w:panose1 w:val="00000000000000000000"/>
    <w:charset w:val="BA"/>
    <w:family w:val="auto"/>
    <w:notTrueType/>
    <w:pitch w:val="default"/>
    <w:sig w:usb0="00000005" w:usb1="00000000" w:usb2="00000000" w:usb3="00000000" w:csb0="00000080" w:csb1="00000000"/>
  </w:font>
  <w:font w:name="Bookman Old Style">
    <w:panose1 w:val="02050604050505020204"/>
    <w:charset w:val="BA"/>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BA"/>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85894"/>
      <w:docPartObj>
        <w:docPartGallery w:val="Page Numbers (Bottom of Page)"/>
        <w:docPartUnique/>
      </w:docPartObj>
    </w:sdtPr>
    <w:sdtContent>
      <w:p w:rsidR="00EA0BC5" w:rsidRDefault="00B1356B">
        <w:pPr>
          <w:pStyle w:val="Footer"/>
          <w:jc w:val="center"/>
        </w:pPr>
        <w:fldSimple w:instr=" PAGE   \* MERGEFORMAT ">
          <w:r w:rsidR="00786DB2">
            <w:t>63</w:t>
          </w:r>
        </w:fldSimple>
      </w:p>
    </w:sdtContent>
  </w:sdt>
  <w:p w:rsidR="00EA0BC5" w:rsidRDefault="00EA0BC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76D" w:rsidRDefault="00C9276D" w:rsidP="002750B8">
      <w:pPr>
        <w:spacing w:after="0"/>
      </w:pPr>
      <w:r>
        <w:separator/>
      </w:r>
    </w:p>
  </w:footnote>
  <w:footnote w:type="continuationSeparator" w:id="1">
    <w:p w:rsidR="00C9276D" w:rsidRDefault="00C9276D" w:rsidP="002750B8">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73924"/>
    <w:multiLevelType w:val="hybridMultilevel"/>
    <w:tmpl w:val="C2FAA1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12CA7D02"/>
    <w:multiLevelType w:val="hybridMultilevel"/>
    <w:tmpl w:val="06424E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8A2ED1"/>
    <w:multiLevelType w:val="hybridMultilevel"/>
    <w:tmpl w:val="3A367BD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E265FBA"/>
    <w:multiLevelType w:val="hybridMultilevel"/>
    <w:tmpl w:val="7FE040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345E49F1"/>
    <w:multiLevelType w:val="hybridMultilevel"/>
    <w:tmpl w:val="A96C2BE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349E5E3A"/>
    <w:multiLevelType w:val="hybridMultilevel"/>
    <w:tmpl w:val="24BC8C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366D2C1A"/>
    <w:multiLevelType w:val="hybridMultilevel"/>
    <w:tmpl w:val="4164F4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A7C74B0"/>
    <w:multiLevelType w:val="hybridMultilevel"/>
    <w:tmpl w:val="C8A05E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42BD0382"/>
    <w:multiLevelType w:val="hybridMultilevel"/>
    <w:tmpl w:val="5FC0B3A6"/>
    <w:lvl w:ilvl="0" w:tplc="04270001">
      <w:start w:val="1"/>
      <w:numFmt w:val="bullet"/>
      <w:lvlText w:val=""/>
      <w:lvlJc w:val="left"/>
      <w:pPr>
        <w:ind w:left="2007" w:hanging="360"/>
      </w:pPr>
      <w:rPr>
        <w:rFonts w:ascii="Symbol" w:hAnsi="Symbol" w:hint="default"/>
      </w:rPr>
    </w:lvl>
    <w:lvl w:ilvl="1" w:tplc="04270003" w:tentative="1">
      <w:start w:val="1"/>
      <w:numFmt w:val="bullet"/>
      <w:lvlText w:val="o"/>
      <w:lvlJc w:val="left"/>
      <w:pPr>
        <w:ind w:left="2727" w:hanging="360"/>
      </w:pPr>
      <w:rPr>
        <w:rFonts w:ascii="Courier New" w:hAnsi="Courier New" w:cs="Courier New" w:hint="default"/>
      </w:rPr>
    </w:lvl>
    <w:lvl w:ilvl="2" w:tplc="04270005" w:tentative="1">
      <w:start w:val="1"/>
      <w:numFmt w:val="bullet"/>
      <w:lvlText w:val=""/>
      <w:lvlJc w:val="left"/>
      <w:pPr>
        <w:ind w:left="3447" w:hanging="360"/>
      </w:pPr>
      <w:rPr>
        <w:rFonts w:ascii="Wingdings" w:hAnsi="Wingdings" w:hint="default"/>
      </w:rPr>
    </w:lvl>
    <w:lvl w:ilvl="3" w:tplc="04270001" w:tentative="1">
      <w:start w:val="1"/>
      <w:numFmt w:val="bullet"/>
      <w:lvlText w:val=""/>
      <w:lvlJc w:val="left"/>
      <w:pPr>
        <w:ind w:left="4167" w:hanging="360"/>
      </w:pPr>
      <w:rPr>
        <w:rFonts w:ascii="Symbol" w:hAnsi="Symbol" w:hint="default"/>
      </w:rPr>
    </w:lvl>
    <w:lvl w:ilvl="4" w:tplc="04270003" w:tentative="1">
      <w:start w:val="1"/>
      <w:numFmt w:val="bullet"/>
      <w:lvlText w:val="o"/>
      <w:lvlJc w:val="left"/>
      <w:pPr>
        <w:ind w:left="4887" w:hanging="360"/>
      </w:pPr>
      <w:rPr>
        <w:rFonts w:ascii="Courier New" w:hAnsi="Courier New" w:cs="Courier New" w:hint="default"/>
      </w:rPr>
    </w:lvl>
    <w:lvl w:ilvl="5" w:tplc="04270005" w:tentative="1">
      <w:start w:val="1"/>
      <w:numFmt w:val="bullet"/>
      <w:lvlText w:val=""/>
      <w:lvlJc w:val="left"/>
      <w:pPr>
        <w:ind w:left="5607" w:hanging="360"/>
      </w:pPr>
      <w:rPr>
        <w:rFonts w:ascii="Wingdings" w:hAnsi="Wingdings" w:hint="default"/>
      </w:rPr>
    </w:lvl>
    <w:lvl w:ilvl="6" w:tplc="04270001" w:tentative="1">
      <w:start w:val="1"/>
      <w:numFmt w:val="bullet"/>
      <w:lvlText w:val=""/>
      <w:lvlJc w:val="left"/>
      <w:pPr>
        <w:ind w:left="6327" w:hanging="360"/>
      </w:pPr>
      <w:rPr>
        <w:rFonts w:ascii="Symbol" w:hAnsi="Symbol" w:hint="default"/>
      </w:rPr>
    </w:lvl>
    <w:lvl w:ilvl="7" w:tplc="04270003" w:tentative="1">
      <w:start w:val="1"/>
      <w:numFmt w:val="bullet"/>
      <w:lvlText w:val="o"/>
      <w:lvlJc w:val="left"/>
      <w:pPr>
        <w:ind w:left="7047" w:hanging="360"/>
      </w:pPr>
      <w:rPr>
        <w:rFonts w:ascii="Courier New" w:hAnsi="Courier New" w:cs="Courier New" w:hint="default"/>
      </w:rPr>
    </w:lvl>
    <w:lvl w:ilvl="8" w:tplc="04270005" w:tentative="1">
      <w:start w:val="1"/>
      <w:numFmt w:val="bullet"/>
      <w:lvlText w:val=""/>
      <w:lvlJc w:val="left"/>
      <w:pPr>
        <w:ind w:left="7767" w:hanging="360"/>
      </w:pPr>
      <w:rPr>
        <w:rFonts w:ascii="Wingdings" w:hAnsi="Wingdings" w:hint="default"/>
      </w:rPr>
    </w:lvl>
  </w:abstractNum>
  <w:abstractNum w:abstractNumId="9">
    <w:nsid w:val="476E1AF2"/>
    <w:multiLevelType w:val="hybridMultilevel"/>
    <w:tmpl w:val="2B1E7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A834CE7"/>
    <w:multiLevelType w:val="hybridMultilevel"/>
    <w:tmpl w:val="0D86433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556E3612"/>
    <w:multiLevelType w:val="hybridMultilevel"/>
    <w:tmpl w:val="27B497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32C6C67"/>
    <w:multiLevelType w:val="hybridMultilevel"/>
    <w:tmpl w:val="184C73A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3">
    <w:nsid w:val="63D82F99"/>
    <w:multiLevelType w:val="hybridMultilevel"/>
    <w:tmpl w:val="972016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65682311"/>
    <w:multiLevelType w:val="hybridMultilevel"/>
    <w:tmpl w:val="BF4C62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66657C62"/>
    <w:multiLevelType w:val="hybridMultilevel"/>
    <w:tmpl w:val="1C60F6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67E1ABD"/>
    <w:multiLevelType w:val="hybridMultilevel"/>
    <w:tmpl w:val="B55AAF6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776E79E1"/>
    <w:multiLevelType w:val="hybridMultilevel"/>
    <w:tmpl w:val="E6CA7F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8CE4339"/>
    <w:multiLevelType w:val="hybridMultilevel"/>
    <w:tmpl w:val="9F309C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7AB95B6E"/>
    <w:multiLevelType w:val="hybridMultilevel"/>
    <w:tmpl w:val="0172DA9E"/>
    <w:lvl w:ilvl="0" w:tplc="FB2673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E0C97"/>
    <w:multiLevelType w:val="hybridMultilevel"/>
    <w:tmpl w:val="6BAC1572"/>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19"/>
  </w:num>
  <w:num w:numId="2">
    <w:abstractNumId w:val="12"/>
  </w:num>
  <w:num w:numId="3">
    <w:abstractNumId w:val="20"/>
  </w:num>
  <w:num w:numId="4">
    <w:abstractNumId w:val="15"/>
  </w:num>
  <w:num w:numId="5">
    <w:abstractNumId w:val="11"/>
  </w:num>
  <w:num w:numId="6">
    <w:abstractNumId w:val="1"/>
  </w:num>
  <w:num w:numId="7">
    <w:abstractNumId w:val="8"/>
  </w:num>
  <w:num w:numId="8">
    <w:abstractNumId w:val="16"/>
  </w:num>
  <w:num w:numId="9">
    <w:abstractNumId w:val="5"/>
  </w:num>
  <w:num w:numId="10">
    <w:abstractNumId w:val="7"/>
  </w:num>
  <w:num w:numId="11">
    <w:abstractNumId w:val="9"/>
  </w:num>
  <w:num w:numId="12">
    <w:abstractNumId w:val="2"/>
  </w:num>
  <w:num w:numId="13">
    <w:abstractNumId w:val="17"/>
  </w:num>
  <w:num w:numId="14">
    <w:abstractNumId w:val="3"/>
  </w:num>
  <w:num w:numId="15">
    <w:abstractNumId w:val="4"/>
  </w:num>
  <w:num w:numId="16">
    <w:abstractNumId w:val="6"/>
  </w:num>
  <w:num w:numId="17">
    <w:abstractNumId w:val="13"/>
  </w:num>
  <w:num w:numId="18">
    <w:abstractNumId w:val="18"/>
  </w:num>
  <w:num w:numId="19">
    <w:abstractNumId w:val="14"/>
  </w:num>
  <w:num w:numId="20">
    <w:abstractNumId w:val="10"/>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396"/>
  <w:drawingGridHorizontalSpacing w:val="120"/>
  <w:displayHorizontalDrawingGridEvery w:val="2"/>
  <w:characterSpacingControl w:val="doNotCompress"/>
  <w:footnotePr>
    <w:footnote w:id="0"/>
    <w:footnote w:id="1"/>
  </w:footnotePr>
  <w:endnotePr>
    <w:endnote w:id="0"/>
    <w:endnote w:id="1"/>
  </w:endnotePr>
  <w:compat/>
  <w:rsids>
    <w:rsidRoot w:val="0072642C"/>
    <w:rsid w:val="00003CF2"/>
    <w:rsid w:val="0000423A"/>
    <w:rsid w:val="00024943"/>
    <w:rsid w:val="0002649D"/>
    <w:rsid w:val="00026E5C"/>
    <w:rsid w:val="0006554A"/>
    <w:rsid w:val="00066496"/>
    <w:rsid w:val="000724DE"/>
    <w:rsid w:val="00073FC1"/>
    <w:rsid w:val="000914C4"/>
    <w:rsid w:val="000947BE"/>
    <w:rsid w:val="0009489E"/>
    <w:rsid w:val="00094BF9"/>
    <w:rsid w:val="000C710D"/>
    <w:rsid w:val="000D06F1"/>
    <w:rsid w:val="000D0D60"/>
    <w:rsid w:val="000E4731"/>
    <w:rsid w:val="000E6850"/>
    <w:rsid w:val="0010257F"/>
    <w:rsid w:val="0011024E"/>
    <w:rsid w:val="0012137A"/>
    <w:rsid w:val="00144E52"/>
    <w:rsid w:val="00170CCE"/>
    <w:rsid w:val="0018578F"/>
    <w:rsid w:val="00191CA8"/>
    <w:rsid w:val="0019503F"/>
    <w:rsid w:val="001A1E00"/>
    <w:rsid w:val="001A45D0"/>
    <w:rsid w:val="001C07C7"/>
    <w:rsid w:val="001C6002"/>
    <w:rsid w:val="001E0BFF"/>
    <w:rsid w:val="001F0889"/>
    <w:rsid w:val="002226B2"/>
    <w:rsid w:val="002233DB"/>
    <w:rsid w:val="002300E3"/>
    <w:rsid w:val="002312F6"/>
    <w:rsid w:val="002432C6"/>
    <w:rsid w:val="00256619"/>
    <w:rsid w:val="0026398C"/>
    <w:rsid w:val="0026619C"/>
    <w:rsid w:val="002706C9"/>
    <w:rsid w:val="002750B8"/>
    <w:rsid w:val="0027792C"/>
    <w:rsid w:val="002A1F97"/>
    <w:rsid w:val="002A5408"/>
    <w:rsid w:val="002D64DF"/>
    <w:rsid w:val="002D7879"/>
    <w:rsid w:val="002F240F"/>
    <w:rsid w:val="002F42E6"/>
    <w:rsid w:val="002F7F74"/>
    <w:rsid w:val="00306554"/>
    <w:rsid w:val="0030693D"/>
    <w:rsid w:val="0032155B"/>
    <w:rsid w:val="00347202"/>
    <w:rsid w:val="00355008"/>
    <w:rsid w:val="00355518"/>
    <w:rsid w:val="0036061F"/>
    <w:rsid w:val="00391F37"/>
    <w:rsid w:val="003970F8"/>
    <w:rsid w:val="003B3FEB"/>
    <w:rsid w:val="003D0A9A"/>
    <w:rsid w:val="003F3191"/>
    <w:rsid w:val="003F5425"/>
    <w:rsid w:val="003F7B67"/>
    <w:rsid w:val="004066C3"/>
    <w:rsid w:val="00466C8B"/>
    <w:rsid w:val="004727F2"/>
    <w:rsid w:val="004775BA"/>
    <w:rsid w:val="004A1A89"/>
    <w:rsid w:val="004A5811"/>
    <w:rsid w:val="004A7C46"/>
    <w:rsid w:val="004B1F01"/>
    <w:rsid w:val="004B7E6D"/>
    <w:rsid w:val="004D0939"/>
    <w:rsid w:val="004D43AF"/>
    <w:rsid w:val="004E40D4"/>
    <w:rsid w:val="00512953"/>
    <w:rsid w:val="0051335A"/>
    <w:rsid w:val="005251BF"/>
    <w:rsid w:val="005528C8"/>
    <w:rsid w:val="005A2A9A"/>
    <w:rsid w:val="005B46E8"/>
    <w:rsid w:val="005B7D02"/>
    <w:rsid w:val="005F1947"/>
    <w:rsid w:val="005F55AA"/>
    <w:rsid w:val="005F674A"/>
    <w:rsid w:val="006126A2"/>
    <w:rsid w:val="0061302B"/>
    <w:rsid w:val="00617EE5"/>
    <w:rsid w:val="006236EC"/>
    <w:rsid w:val="0064459C"/>
    <w:rsid w:val="006554DF"/>
    <w:rsid w:val="00661E5F"/>
    <w:rsid w:val="006631B9"/>
    <w:rsid w:val="00683EFE"/>
    <w:rsid w:val="00696BC1"/>
    <w:rsid w:val="006B0502"/>
    <w:rsid w:val="006D476C"/>
    <w:rsid w:val="00702E4D"/>
    <w:rsid w:val="0071552C"/>
    <w:rsid w:val="00717FE5"/>
    <w:rsid w:val="0072642C"/>
    <w:rsid w:val="00726CAA"/>
    <w:rsid w:val="00733E22"/>
    <w:rsid w:val="007344B2"/>
    <w:rsid w:val="00774D1D"/>
    <w:rsid w:val="00786103"/>
    <w:rsid w:val="00786DB2"/>
    <w:rsid w:val="0079245C"/>
    <w:rsid w:val="007937A7"/>
    <w:rsid w:val="007A4EE0"/>
    <w:rsid w:val="007C099E"/>
    <w:rsid w:val="007F17D3"/>
    <w:rsid w:val="00811CAE"/>
    <w:rsid w:val="00832113"/>
    <w:rsid w:val="00833C14"/>
    <w:rsid w:val="008440C4"/>
    <w:rsid w:val="00844ECE"/>
    <w:rsid w:val="00851116"/>
    <w:rsid w:val="00863C0A"/>
    <w:rsid w:val="00864A0E"/>
    <w:rsid w:val="00870C77"/>
    <w:rsid w:val="00884744"/>
    <w:rsid w:val="008C2470"/>
    <w:rsid w:val="008E3D9E"/>
    <w:rsid w:val="00931DC7"/>
    <w:rsid w:val="00945CD3"/>
    <w:rsid w:val="00953ECC"/>
    <w:rsid w:val="00986FE7"/>
    <w:rsid w:val="00993F63"/>
    <w:rsid w:val="009950A3"/>
    <w:rsid w:val="009A39D8"/>
    <w:rsid w:val="009A5379"/>
    <w:rsid w:val="009B06B6"/>
    <w:rsid w:val="009B183E"/>
    <w:rsid w:val="009B4765"/>
    <w:rsid w:val="009C45BD"/>
    <w:rsid w:val="009F65AF"/>
    <w:rsid w:val="00A05730"/>
    <w:rsid w:val="00A15549"/>
    <w:rsid w:val="00A241E3"/>
    <w:rsid w:val="00A311BD"/>
    <w:rsid w:val="00A662CD"/>
    <w:rsid w:val="00A80C64"/>
    <w:rsid w:val="00A80EC7"/>
    <w:rsid w:val="00A8445F"/>
    <w:rsid w:val="00A85E88"/>
    <w:rsid w:val="00AB5574"/>
    <w:rsid w:val="00AC4D68"/>
    <w:rsid w:val="00AE06FF"/>
    <w:rsid w:val="00AE2799"/>
    <w:rsid w:val="00AF6BA6"/>
    <w:rsid w:val="00B07D8A"/>
    <w:rsid w:val="00B1356B"/>
    <w:rsid w:val="00B40AD3"/>
    <w:rsid w:val="00B93E6C"/>
    <w:rsid w:val="00BA107E"/>
    <w:rsid w:val="00BB55B2"/>
    <w:rsid w:val="00BD49D5"/>
    <w:rsid w:val="00BE1826"/>
    <w:rsid w:val="00BE5322"/>
    <w:rsid w:val="00BF4C35"/>
    <w:rsid w:val="00C147B4"/>
    <w:rsid w:val="00C24116"/>
    <w:rsid w:val="00C25109"/>
    <w:rsid w:val="00C46A73"/>
    <w:rsid w:val="00C544DD"/>
    <w:rsid w:val="00C7080C"/>
    <w:rsid w:val="00C724E1"/>
    <w:rsid w:val="00C74EF5"/>
    <w:rsid w:val="00C9276D"/>
    <w:rsid w:val="00CA3D6B"/>
    <w:rsid w:val="00CB4C9D"/>
    <w:rsid w:val="00CB66F4"/>
    <w:rsid w:val="00CE3D16"/>
    <w:rsid w:val="00CF4A19"/>
    <w:rsid w:val="00D000F7"/>
    <w:rsid w:val="00D115B6"/>
    <w:rsid w:val="00D24184"/>
    <w:rsid w:val="00D54CF9"/>
    <w:rsid w:val="00D55B65"/>
    <w:rsid w:val="00D5635B"/>
    <w:rsid w:val="00D56F6C"/>
    <w:rsid w:val="00D7730B"/>
    <w:rsid w:val="00D80A45"/>
    <w:rsid w:val="00D8132B"/>
    <w:rsid w:val="00DA292C"/>
    <w:rsid w:val="00DA6869"/>
    <w:rsid w:val="00DC38E4"/>
    <w:rsid w:val="00DD052C"/>
    <w:rsid w:val="00DF70F2"/>
    <w:rsid w:val="00E04249"/>
    <w:rsid w:val="00E06569"/>
    <w:rsid w:val="00E40D1D"/>
    <w:rsid w:val="00E5477F"/>
    <w:rsid w:val="00E63E23"/>
    <w:rsid w:val="00E72167"/>
    <w:rsid w:val="00EA0BC5"/>
    <w:rsid w:val="00EA3C12"/>
    <w:rsid w:val="00EC61ED"/>
    <w:rsid w:val="00EC71C1"/>
    <w:rsid w:val="00ED5237"/>
    <w:rsid w:val="00EF77C9"/>
    <w:rsid w:val="00F04C72"/>
    <w:rsid w:val="00F061E6"/>
    <w:rsid w:val="00F21970"/>
    <w:rsid w:val="00F5134C"/>
    <w:rsid w:val="00F61F80"/>
    <w:rsid w:val="00F77276"/>
    <w:rsid w:val="00FA65BF"/>
    <w:rsid w:val="00FE506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42C"/>
    <w:pPr>
      <w:spacing w:after="200"/>
    </w:pPr>
    <w:rPr>
      <w:rFonts w:ascii="Times New Roman" w:hAnsi="Times New Roman"/>
      <w:noProof/>
      <w:sz w:val="24"/>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64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642C"/>
    <w:rPr>
      <w:rFonts w:ascii="Tahoma" w:hAnsi="Tahoma" w:cs="Tahoma"/>
      <w:sz w:val="16"/>
      <w:szCs w:val="16"/>
    </w:rPr>
  </w:style>
  <w:style w:type="paragraph" w:customStyle="1" w:styleId="NormalParagraphStyle">
    <w:name w:val="NormalParagraphStyle"/>
    <w:basedOn w:val="Normal"/>
    <w:uiPriority w:val="99"/>
    <w:rsid w:val="0061302B"/>
    <w:pPr>
      <w:autoSpaceDE w:val="0"/>
      <w:autoSpaceDN w:val="0"/>
      <w:adjustRightInd w:val="0"/>
      <w:spacing w:after="0" w:line="288" w:lineRule="auto"/>
      <w:textAlignment w:val="center"/>
    </w:pPr>
    <w:rPr>
      <w:rFonts w:eastAsia="Times New Roman"/>
      <w:color w:val="000000"/>
      <w:szCs w:val="24"/>
      <w:lang w:val="en-GB"/>
    </w:rPr>
  </w:style>
  <w:style w:type="character" w:styleId="Hyperlink">
    <w:name w:val="Hyperlink"/>
    <w:basedOn w:val="DefaultParagraphFont"/>
    <w:rsid w:val="0061302B"/>
    <w:rPr>
      <w:color w:val="0000FF"/>
      <w:u w:val="single"/>
    </w:rPr>
  </w:style>
  <w:style w:type="paragraph" w:styleId="ListParagraph">
    <w:name w:val="List Paragraph"/>
    <w:basedOn w:val="Normal"/>
    <w:link w:val="ListParagraphChar"/>
    <w:uiPriority w:val="34"/>
    <w:qFormat/>
    <w:rsid w:val="0061302B"/>
    <w:pPr>
      <w:spacing w:after="0"/>
      <w:ind w:left="720"/>
      <w:contextualSpacing/>
    </w:pPr>
    <w:rPr>
      <w:rFonts w:eastAsia="Times New Roman"/>
      <w:szCs w:val="24"/>
    </w:rPr>
  </w:style>
  <w:style w:type="table" w:customStyle="1" w:styleId="LightShading1">
    <w:name w:val="Light Shading1"/>
    <w:basedOn w:val="TableNormal"/>
    <w:uiPriority w:val="60"/>
    <w:rsid w:val="000D0D60"/>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MediumList1-Accent11">
    <w:name w:val="Medium List 1 - Accent 11"/>
    <w:basedOn w:val="TableNormal"/>
    <w:uiPriority w:val="65"/>
    <w:rsid w:val="00C147B4"/>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paragraph" w:styleId="BodyText">
    <w:name w:val="Body Text"/>
    <w:basedOn w:val="Normal"/>
    <w:link w:val="BodyTextChar"/>
    <w:semiHidden/>
    <w:rsid w:val="0012137A"/>
    <w:pPr>
      <w:widowControl w:val="0"/>
      <w:suppressAutoHyphens/>
      <w:spacing w:after="120"/>
    </w:pPr>
    <w:rPr>
      <w:rFonts w:eastAsia="Lucida Sans Unicode"/>
      <w:kern w:val="1"/>
      <w:szCs w:val="24"/>
      <w:lang w:val="lt-LT" w:eastAsia="ar-SA"/>
    </w:rPr>
  </w:style>
  <w:style w:type="character" w:customStyle="1" w:styleId="BodyTextChar">
    <w:name w:val="Body Text Char"/>
    <w:basedOn w:val="DefaultParagraphFont"/>
    <w:link w:val="BodyText"/>
    <w:semiHidden/>
    <w:rsid w:val="0012137A"/>
    <w:rPr>
      <w:rFonts w:ascii="Times New Roman" w:eastAsia="Lucida Sans Unicode" w:hAnsi="Times New Roman" w:cs="Times New Roman"/>
      <w:noProof/>
      <w:kern w:val="1"/>
      <w:sz w:val="24"/>
      <w:szCs w:val="24"/>
      <w:lang w:val="lt-LT" w:eastAsia="ar-SA"/>
    </w:rPr>
  </w:style>
  <w:style w:type="paragraph" w:styleId="Header">
    <w:name w:val="header"/>
    <w:basedOn w:val="Normal"/>
    <w:link w:val="HeaderChar"/>
    <w:uiPriority w:val="99"/>
    <w:semiHidden/>
    <w:unhideWhenUsed/>
    <w:rsid w:val="002750B8"/>
    <w:pPr>
      <w:tabs>
        <w:tab w:val="center" w:pos="4819"/>
        <w:tab w:val="right" w:pos="9638"/>
      </w:tabs>
      <w:spacing w:after="0"/>
    </w:pPr>
  </w:style>
  <w:style w:type="character" w:customStyle="1" w:styleId="HeaderChar">
    <w:name w:val="Header Char"/>
    <w:basedOn w:val="DefaultParagraphFont"/>
    <w:link w:val="Header"/>
    <w:uiPriority w:val="99"/>
    <w:semiHidden/>
    <w:rsid w:val="002750B8"/>
    <w:rPr>
      <w:rFonts w:ascii="Times New Roman" w:hAnsi="Times New Roman"/>
      <w:noProof/>
      <w:sz w:val="24"/>
      <w:szCs w:val="22"/>
      <w:lang w:val="en-US" w:eastAsia="en-US"/>
    </w:rPr>
  </w:style>
  <w:style w:type="paragraph" w:styleId="Footer">
    <w:name w:val="footer"/>
    <w:basedOn w:val="Normal"/>
    <w:link w:val="FooterChar"/>
    <w:uiPriority w:val="99"/>
    <w:unhideWhenUsed/>
    <w:rsid w:val="002750B8"/>
    <w:pPr>
      <w:tabs>
        <w:tab w:val="center" w:pos="4819"/>
        <w:tab w:val="right" w:pos="9638"/>
      </w:tabs>
      <w:spacing w:after="0"/>
    </w:pPr>
  </w:style>
  <w:style w:type="character" w:customStyle="1" w:styleId="FooterChar">
    <w:name w:val="Footer Char"/>
    <w:basedOn w:val="DefaultParagraphFont"/>
    <w:link w:val="Footer"/>
    <w:uiPriority w:val="99"/>
    <w:rsid w:val="002750B8"/>
    <w:rPr>
      <w:rFonts w:ascii="Times New Roman" w:hAnsi="Times New Roman"/>
      <w:noProof/>
      <w:sz w:val="24"/>
      <w:szCs w:val="22"/>
      <w:lang w:val="en-US" w:eastAsia="en-US"/>
    </w:rPr>
  </w:style>
  <w:style w:type="character" w:customStyle="1" w:styleId="ListParagraphChar">
    <w:name w:val="List Paragraph Char"/>
    <w:basedOn w:val="DefaultParagraphFont"/>
    <w:link w:val="ListParagraph"/>
    <w:uiPriority w:val="34"/>
    <w:rsid w:val="002750B8"/>
    <w:rPr>
      <w:rFonts w:ascii="Times New Roman" w:eastAsia="Times New Roman" w:hAnsi="Times New Roman"/>
      <w:noProof/>
      <w:sz w:val="24"/>
      <w:szCs w:val="24"/>
      <w:lang w:val="en-US" w:eastAsia="en-US"/>
    </w:rPr>
  </w:style>
  <w:style w:type="table" w:styleId="LightShading">
    <w:name w:val="Light Shading"/>
    <w:basedOn w:val="TableNormal"/>
    <w:uiPriority w:val="60"/>
    <w:rsid w:val="002750B8"/>
    <w:rPr>
      <w:rFonts w:asciiTheme="minorHAnsi" w:eastAsiaTheme="minorHAnsi" w:hAnsiTheme="minorHAnsi" w:cstheme="minorBidi"/>
      <w:color w:val="000000" w:themeColor="text1" w:themeShade="BF"/>
      <w:sz w:val="22"/>
      <w:szCs w:val="22"/>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ISTATYMAS">
    <w:name w:val="ISTATYMAS"/>
    <w:basedOn w:val="Normal"/>
    <w:rsid w:val="00E72167"/>
    <w:pPr>
      <w:keepLines/>
      <w:suppressAutoHyphens/>
      <w:autoSpaceDE w:val="0"/>
      <w:autoSpaceDN w:val="0"/>
      <w:adjustRightInd w:val="0"/>
      <w:spacing w:after="0" w:line="288" w:lineRule="auto"/>
      <w:jc w:val="center"/>
      <w:textAlignment w:val="center"/>
    </w:pPr>
    <w:rPr>
      <w:rFonts w:eastAsia="Times New Roman"/>
      <w:noProof w:val="0"/>
      <w:color w:val="000000"/>
      <w:sz w:val="20"/>
      <w:szCs w:val="20"/>
      <w:lang w:eastAsia="lt-LT"/>
    </w:rPr>
  </w:style>
  <w:style w:type="character" w:styleId="Emphasis">
    <w:name w:val="Emphasis"/>
    <w:basedOn w:val="DefaultParagraphFont"/>
    <w:uiPriority w:val="20"/>
    <w:qFormat/>
    <w:rsid w:val="00E72167"/>
    <w:rPr>
      <w:i/>
      <w:iCs/>
    </w:rPr>
  </w:style>
  <w:style w:type="paragraph" w:styleId="NoSpacing">
    <w:name w:val="No Spacing"/>
    <w:uiPriority w:val="1"/>
    <w:qFormat/>
    <w:rsid w:val="00A241E3"/>
    <w:rPr>
      <w:rFonts w:ascii="Times New Roman" w:eastAsiaTheme="minorHAnsi" w:hAnsi="Times New Roman" w:cstheme="minorBidi"/>
      <w:sz w:val="24"/>
      <w:szCs w:val="22"/>
      <w:lang w:val="en-US" w:eastAsia="en-US"/>
    </w:rPr>
  </w:style>
  <w:style w:type="character" w:styleId="CommentReference">
    <w:name w:val="annotation reference"/>
    <w:basedOn w:val="DefaultParagraphFont"/>
    <w:uiPriority w:val="99"/>
    <w:semiHidden/>
    <w:unhideWhenUsed/>
    <w:rsid w:val="00FE506B"/>
    <w:rPr>
      <w:sz w:val="16"/>
      <w:szCs w:val="16"/>
    </w:rPr>
  </w:style>
  <w:style w:type="paragraph" w:styleId="CommentText">
    <w:name w:val="annotation text"/>
    <w:basedOn w:val="Normal"/>
    <w:link w:val="CommentTextChar"/>
    <w:uiPriority w:val="99"/>
    <w:semiHidden/>
    <w:unhideWhenUsed/>
    <w:rsid w:val="00FE506B"/>
    <w:rPr>
      <w:sz w:val="20"/>
      <w:szCs w:val="20"/>
    </w:rPr>
  </w:style>
  <w:style w:type="character" w:customStyle="1" w:styleId="CommentTextChar">
    <w:name w:val="Comment Text Char"/>
    <w:basedOn w:val="DefaultParagraphFont"/>
    <w:link w:val="CommentText"/>
    <w:uiPriority w:val="99"/>
    <w:semiHidden/>
    <w:rsid w:val="00FE506B"/>
    <w:rPr>
      <w:rFonts w:ascii="Times New Roman" w:hAnsi="Times New Roman"/>
      <w:noProof/>
      <w:lang w:val="en-US" w:eastAsia="en-US"/>
    </w:rPr>
  </w:style>
  <w:style w:type="paragraph" w:styleId="CommentSubject">
    <w:name w:val="annotation subject"/>
    <w:basedOn w:val="CommentText"/>
    <w:next w:val="CommentText"/>
    <w:link w:val="CommentSubjectChar"/>
    <w:uiPriority w:val="99"/>
    <w:semiHidden/>
    <w:unhideWhenUsed/>
    <w:rsid w:val="00FE506B"/>
    <w:rPr>
      <w:b/>
      <w:bCs/>
    </w:rPr>
  </w:style>
  <w:style w:type="character" w:customStyle="1" w:styleId="CommentSubjectChar">
    <w:name w:val="Comment Subject Char"/>
    <w:basedOn w:val="CommentTextChar"/>
    <w:link w:val="CommentSubject"/>
    <w:uiPriority w:val="99"/>
    <w:semiHidden/>
    <w:rsid w:val="00FE506B"/>
    <w:rPr>
      <w:b/>
      <w:bCs/>
    </w:rPr>
  </w:style>
</w:styles>
</file>

<file path=word/webSettings.xml><?xml version="1.0" encoding="utf-8"?>
<w:webSettings xmlns:r="http://schemas.openxmlformats.org/officeDocument/2006/relationships" xmlns:w="http://schemas.openxmlformats.org/wordprocessingml/2006/main">
  <w:divs>
    <w:div w:id="116801746">
      <w:bodyDiv w:val="1"/>
      <w:marLeft w:val="0"/>
      <w:marRight w:val="0"/>
      <w:marTop w:val="0"/>
      <w:marBottom w:val="0"/>
      <w:divBdr>
        <w:top w:val="none" w:sz="0" w:space="0" w:color="auto"/>
        <w:left w:val="none" w:sz="0" w:space="0" w:color="auto"/>
        <w:bottom w:val="none" w:sz="0" w:space="0" w:color="auto"/>
        <w:right w:val="none" w:sz="0" w:space="0" w:color="auto"/>
      </w:divBdr>
    </w:div>
    <w:div w:id="166889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hyperlink" Target="http://lt.wikipedia.org/wiki/Sistema" TargetMode="External"/><Relationship Id="rId55" Type="http://schemas.openxmlformats.org/officeDocument/2006/relationships/chart" Target="charts/chart44.xml"/><Relationship Id="rId63" Type="http://schemas.openxmlformats.org/officeDocument/2006/relationships/chart" Target="charts/chart52.xml"/><Relationship Id="rId68" Type="http://schemas.openxmlformats.org/officeDocument/2006/relationships/chart" Target="charts/chart57.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2.xml"/><Relationship Id="rId58" Type="http://schemas.openxmlformats.org/officeDocument/2006/relationships/chart" Target="charts/chart47.xml"/><Relationship Id="rId66" Type="http://schemas.openxmlformats.org/officeDocument/2006/relationships/chart" Target="charts/chart55.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hyperlink" Target="http://lt.wikipedia.org/w/index.php?title=Sveikatinimas&amp;action=edit&amp;redlink=1" TargetMode="External"/><Relationship Id="rId57" Type="http://schemas.openxmlformats.org/officeDocument/2006/relationships/chart" Target="charts/chart46.xml"/><Relationship Id="rId61" Type="http://schemas.openxmlformats.org/officeDocument/2006/relationships/chart" Target="charts/chart50.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1.xml"/><Relationship Id="rId60" Type="http://schemas.openxmlformats.org/officeDocument/2006/relationships/chart" Target="charts/chart49.xml"/><Relationship Id="rId65" Type="http://schemas.openxmlformats.org/officeDocument/2006/relationships/chart" Target="charts/chart54.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hyperlink" Target="http://lt.wikipedia.org/wiki/Sveikata" TargetMode="External"/><Relationship Id="rId56" Type="http://schemas.openxmlformats.org/officeDocument/2006/relationships/chart" Target="charts/chart45.xml"/><Relationship Id="rId64" Type="http://schemas.openxmlformats.org/officeDocument/2006/relationships/chart" Target="charts/chart53.xml"/><Relationship Id="rId69" Type="http://schemas.openxmlformats.org/officeDocument/2006/relationships/chart" Target="charts/chart58.xml"/><Relationship Id="rId8" Type="http://schemas.openxmlformats.org/officeDocument/2006/relationships/image" Target="media/image1.jpeg"/><Relationship Id="rId51" Type="http://schemas.openxmlformats.org/officeDocument/2006/relationships/chart" Target="charts/chart40.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48.xml"/><Relationship Id="rId67" Type="http://schemas.openxmlformats.org/officeDocument/2006/relationships/chart" Target="charts/chart56.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3.xml"/><Relationship Id="rId62" Type="http://schemas.openxmlformats.org/officeDocument/2006/relationships/chart" Target="charts/chart51.xml"/><Relationship Id="rId7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D:\VVSBiuras\VVSB%20stebesena\1%20Demografija\2011\Demografij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311-A\Desktop\Stenesena%202011\Vilniaus%20rajonas%202011\Kraujotakos%20ligos.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311-A\Desktop\Stenesena%202011\Vilniaus%20rajonas%202011\Kraujotakos%20ligos.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311-A\Desktop\Stenesena%202011\Vilniaus%20rajonas%202011\Kraujotakos%20ligos.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User\Desktop\Doviles%20documents\Visuomen&#279;s%20sveikatos%20steb&#279;sena\Stebesenos%20ataskaitos\Stebesena%20uz%202010%20m\Vilniaus%20rajonas\Vilniaus%20raj%20duomenu%20baze.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User\Desktop\Doviles%20documents\Visuomen&#279;s%20sveikatos%20steb&#279;sena\Stebesenos%20ataskaitos\Stebesena%20uz%202010%20m\Vilniaus%20rajonas\Vilniaus%20raj%20duomenu%20baze.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VVSBiuras\VVSB%20stebesena\1%20Demografija\2011\Demografij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User\Desktop\Doviles%20documents\Visuomen&#279;s%20sveikatos%20steb&#279;sena\Stebesenos%20ataskaitos\Stebesena%20uz%202010%20m\Vilniaus%20rajonas\Vilniaus%20raj%20duomenu%20baze.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User\Desktop\Doviles%20documents\Visuomen&#279;s%20sveikatos%20steb&#279;sena\Stebesenos%20ataskaitos\Stebesena%20uz%202010%20m\Vilniaus%20rajonas\Vilniaus%20raj%20duomenu%20baze.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User\Desktop\Doviles%20documents\Visuomen&#279;s%20sveikatos%20steb&#279;sena\Stebesenos%20ataskaitos\Stebesena%20uz%202010%20m\Vilniaus%20rajonas\Vilniaus%20raj%20duomenu%20baze.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User\Desktop\Doviles%20documents\Visuomen&#279;s%20sveikatos%20steb&#279;sena\Stebesenos%20ataskaitos\Stebesena%20uz%202010%20m\Vilniaus%20rajonas\Vilniaus%20raj%20duomenu%20baze.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file:///C:\Users\311-A\Desktop\Stenesena%202011\Vilniaus%20rajonas%202011\infekcines%20ligos.xls"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file:///D:\VVSBiuras\VVSB%20stebesena\2%20Sergamumas\2011\Sergamumas%20201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VVSBiuras\VVSB%20stebesena\1%20Demografija\2011\Demografija.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file:///C:\Users\311-A\Desktop\Stenesena%202011\Vilniaus%20rajonas%202011\Virskinimo%20sistemos%20ligu%20struktura_2010.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file:///C:\Users\311-A\Desktop\Stenesena%202011\Vilniaus%20rajonas%202011\Virskinimo%20sistemos%20ligu%20struktura_2010.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file:///C:\Users\311-A\Desktop\Stenesena%202011\Vilniaus%20rajonas%202011\Virskinimo%20sistemos%20ligu%20struktura_2010.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file:///C:\Users\311-A\Desktop\Stenesena%202011\Vilniaus%20rajonas%202011\Endokrinines%20ligos.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file:///C:\Users\311-A\Desktop\Stenesena%202011\Vilniaus%20rajonas%202011\Endokrinines%20ligos.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file:///C:\Users\311-A\Desktop\Stenesena%202011\Vilniaus%20rajonas%202011\Endokrinines%20ligos.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file:///C:\Users\311-A\Desktop\Stenesena%202011\Vilniaus%20rajonas%202011\Kraujotakos%20ligos.xls"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file:///D:\VVSBiuras\VVSB%20stebesena\3%20Aplinka\Vilniaus%20maudyklos\Maudyklos%20duomenys\nauja%20Vilniaus%20maudyklu%20baze.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file:///D:\VVSBiuras\VVSB%20stebesena\3%20Aplinka\Vilniaus%20maudyklos\Maudyklos%20duomenys\nauja%20Vilniaus%20maudyklu%20baz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VVSBiuras\VVSB%20stebesena\1%20Demografija\2011\Demografija.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VVSBiuras\VVSB%20stebesena\1%20Demografija\2011\Demografija.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file:///C:\Documents%20and%20Settings\inace\My%20Documents\VVSB\rajon&#371;%20grafikai.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file:///C:\Documents%20and%20Settings\inace\My%20Documents\VVSB\grafikai%20Vilniau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VVSBiuras\VVSB%20stebesena\1%20Demografija\2011\Demografij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VVSBiuras\VVSB%20stebesena\1%20Demografija\2011\Demografij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Daina_geras\DARBAS\Ataskaitos\Vilniaus%20miestas_2009\SKL\Kraujotakos%20ligos.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311-A\Desktop\Stenesena%202011\Vilniaus%20miestas%202011\Duomenu%20bazes_2010\Sergamumo%20struktura_Vilni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lt-LT"/>
  <c:style val="5"/>
  <c:chart>
    <c:autoTitleDeleted val="1"/>
    <c:plotArea>
      <c:layout>
        <c:manualLayout>
          <c:layoutTarget val="inner"/>
          <c:xMode val="edge"/>
          <c:yMode val="edge"/>
          <c:x val="0.173276108265563"/>
          <c:y val="7.4548702245552684E-2"/>
          <c:w val="0.80794451408494661"/>
          <c:h val="0.79822506561679785"/>
        </c:manualLayout>
      </c:layout>
      <c:lineChart>
        <c:grouping val="standard"/>
        <c:ser>
          <c:idx val="0"/>
          <c:order val="0"/>
          <c:tx>
            <c:strRef>
              <c:f>'2010'!$T$7</c:f>
              <c:strCache>
                <c:ptCount val="1"/>
                <c:pt idx="0">
                  <c:v>VILNIAUS RAJONAS</c:v>
                </c:pt>
              </c:strCache>
            </c:strRef>
          </c:tx>
          <c:spPr>
            <a:ln>
              <a:solidFill>
                <a:srgbClr val="FF5050"/>
              </a:solidFill>
            </a:ln>
          </c:spPr>
          <c:marker>
            <c:symbol val="none"/>
          </c:marker>
          <c:cat>
            <c:numRef>
              <c:f>'2010'!$R$8:$R$17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'2010'!$T$8:$T$17</c:f>
              <c:numCache>
                <c:formatCode>General</c:formatCode>
                <c:ptCount val="10"/>
                <c:pt idx="0">
                  <c:v>88675</c:v>
                </c:pt>
                <c:pt idx="1">
                  <c:v>89173</c:v>
                </c:pt>
                <c:pt idx="2">
                  <c:v>90445</c:v>
                </c:pt>
                <c:pt idx="3">
                  <c:v>92069</c:v>
                </c:pt>
                <c:pt idx="4">
                  <c:v>93168</c:v>
                </c:pt>
                <c:pt idx="5">
                  <c:v>93886</c:v>
                </c:pt>
                <c:pt idx="6">
                  <c:v>94624</c:v>
                </c:pt>
                <c:pt idx="7">
                  <c:v>95613</c:v>
                </c:pt>
                <c:pt idx="8">
                  <c:v>96315</c:v>
                </c:pt>
                <c:pt idx="9">
                  <c:v>96209</c:v>
                </c:pt>
              </c:numCache>
            </c:numRef>
          </c:val>
        </c:ser>
        <c:dropLines/>
        <c:marker val="1"/>
        <c:axId val="80919936"/>
        <c:axId val="96530432"/>
      </c:lineChart>
      <c:catAx>
        <c:axId val="80919936"/>
        <c:scaling>
          <c:orientation val="minMax"/>
        </c:scaling>
        <c:axPos val="b"/>
        <c:numFmt formatCode="General" sourceLinked="1"/>
        <c:majorTickMark val="none"/>
        <c:tickLblPos val="nextTo"/>
        <c:crossAx val="96530432"/>
        <c:crosses val="autoZero"/>
        <c:auto val="1"/>
        <c:lblAlgn val="ctr"/>
        <c:lblOffset val="100"/>
      </c:catAx>
      <c:valAx>
        <c:axId val="96530432"/>
        <c:scaling>
          <c:orientation val="minMax"/>
          <c:min val="88000"/>
        </c:scaling>
        <c:axPos val="l"/>
        <c:majorGridlines/>
        <c:title>
          <c:tx>
            <c:rich>
              <a:bodyPr rot="-5400000" vert="horz"/>
              <a:lstStyle/>
              <a:p>
                <a:pPr>
                  <a:defRPr/>
                </a:pPr>
                <a:r>
                  <a:rPr lang="en-US"/>
                  <a:t>Gyventojai</a:t>
                </a:r>
              </a:p>
            </c:rich>
          </c:tx>
          <c:layout>
            <c:manualLayout>
              <c:xMode val="edge"/>
              <c:yMode val="edge"/>
              <c:x val="1.7566145044840702E-2"/>
              <c:y val="0.31672655642454572"/>
            </c:manualLayout>
          </c:layout>
        </c:title>
        <c:numFmt formatCode="General" sourceLinked="1"/>
        <c:tickLblPos val="nextTo"/>
        <c:crossAx val="80919936"/>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Sheet3!$D$264</c:f>
              <c:strCache>
                <c:ptCount val="1"/>
                <c:pt idx="0">
                  <c:v>Vilniaus r.</c:v>
                </c:pt>
              </c:strCache>
            </c:strRef>
          </c:tx>
          <c:marker>
            <c:symbol val="none"/>
          </c:marker>
          <c:cat>
            <c:numRef>
              <c:f>Sheet3!$C$265:$C$274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Sheet3!$D$265:$D$274</c:f>
              <c:numCache>
                <c:formatCode>0.0</c:formatCode>
                <c:ptCount val="10"/>
                <c:pt idx="0">
                  <c:v>107.313</c:v>
                </c:pt>
                <c:pt idx="1">
                  <c:v>107.252</c:v>
                </c:pt>
                <c:pt idx="2">
                  <c:v>106.098</c:v>
                </c:pt>
                <c:pt idx="3">
                  <c:v>113.154</c:v>
                </c:pt>
                <c:pt idx="4">
                  <c:v>119.998</c:v>
                </c:pt>
                <c:pt idx="5">
                  <c:v>131.69200000000001</c:v>
                </c:pt>
                <c:pt idx="6">
                  <c:v>135.17699999999999</c:v>
                </c:pt>
                <c:pt idx="7">
                  <c:v>139.47</c:v>
                </c:pt>
                <c:pt idx="8">
                  <c:v>140.64299999999997</c:v>
                </c:pt>
                <c:pt idx="9">
                  <c:v>139.84100000000001</c:v>
                </c:pt>
              </c:numCache>
            </c:numRef>
          </c:val>
        </c:ser>
        <c:ser>
          <c:idx val="1"/>
          <c:order val="1"/>
          <c:tx>
            <c:strRef>
              <c:f>Sheet3!$E$264</c:f>
              <c:strCache>
                <c:ptCount val="1"/>
                <c:pt idx="0">
                  <c:v>Vilniaus apskr.</c:v>
                </c:pt>
              </c:strCache>
            </c:strRef>
          </c:tx>
          <c:spPr>
            <a:ln>
              <a:solidFill>
                <a:schemeClr val="accent6"/>
              </a:solidFill>
            </a:ln>
          </c:spPr>
          <c:marker>
            <c:symbol val="none"/>
          </c:marker>
          <c:cat>
            <c:numRef>
              <c:f>Sheet3!$C$265:$C$274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Sheet3!$E$265:$E$274</c:f>
              <c:numCache>
                <c:formatCode>0.0</c:formatCode>
                <c:ptCount val="10"/>
                <c:pt idx="0">
                  <c:v>128.10899999999998</c:v>
                </c:pt>
                <c:pt idx="1">
                  <c:v>131.624</c:v>
                </c:pt>
                <c:pt idx="2">
                  <c:v>139.15900000000002</c:v>
                </c:pt>
                <c:pt idx="3">
                  <c:v>146.018</c:v>
                </c:pt>
                <c:pt idx="4">
                  <c:v>151.90300000000002</c:v>
                </c:pt>
                <c:pt idx="5">
                  <c:v>157.75800000000001</c:v>
                </c:pt>
                <c:pt idx="6">
                  <c:v>160.18900000000002</c:v>
                </c:pt>
                <c:pt idx="7">
                  <c:v>168.22200000000001</c:v>
                </c:pt>
                <c:pt idx="8">
                  <c:v>173.92700000000067</c:v>
                </c:pt>
                <c:pt idx="9">
                  <c:v>179.54399999999998</c:v>
                </c:pt>
              </c:numCache>
            </c:numRef>
          </c:val>
        </c:ser>
        <c:ser>
          <c:idx val="2"/>
          <c:order val="2"/>
          <c:tx>
            <c:strRef>
              <c:f>Sheet3!$F$264</c:f>
              <c:strCache>
                <c:ptCount val="1"/>
                <c:pt idx="0">
                  <c:v>Lietuva</c:v>
                </c:pt>
              </c:strCache>
            </c:strRef>
          </c:tx>
          <c:marker>
            <c:symbol val="none"/>
          </c:marker>
          <c:cat>
            <c:numRef>
              <c:f>Sheet3!$C$265:$C$274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Sheet3!$F$265:$F$274</c:f>
              <c:numCache>
                <c:formatCode>0.0</c:formatCode>
                <c:ptCount val="10"/>
                <c:pt idx="0" formatCode="General">
                  <c:v>130.69999999999999</c:v>
                </c:pt>
                <c:pt idx="1">
                  <c:v>136</c:v>
                </c:pt>
                <c:pt idx="2">
                  <c:v>143</c:v>
                </c:pt>
                <c:pt idx="3" formatCode="General">
                  <c:v>153.4</c:v>
                </c:pt>
                <c:pt idx="4" formatCode="General">
                  <c:v>159.4</c:v>
                </c:pt>
                <c:pt idx="5" formatCode="General">
                  <c:v>166.1</c:v>
                </c:pt>
                <c:pt idx="6" formatCode="General">
                  <c:v>171.6</c:v>
                </c:pt>
                <c:pt idx="7" formatCode="General">
                  <c:v>181.9</c:v>
                </c:pt>
                <c:pt idx="8" formatCode="General">
                  <c:v>186.9</c:v>
                </c:pt>
                <c:pt idx="9" formatCode="General">
                  <c:v>194.2</c:v>
                </c:pt>
              </c:numCache>
            </c:numRef>
          </c:val>
        </c:ser>
        <c:marker val="1"/>
        <c:axId val="96117120"/>
        <c:axId val="96118656"/>
      </c:lineChart>
      <c:catAx>
        <c:axId val="96117120"/>
        <c:scaling>
          <c:orientation val="minMax"/>
        </c:scaling>
        <c:axPos val="b"/>
        <c:numFmt formatCode="General" sourceLinked="1"/>
        <c:majorTickMark val="none"/>
        <c:tickLblPos val="nextTo"/>
        <c:crossAx val="96118656"/>
        <c:crosses val="autoZero"/>
        <c:auto val="1"/>
        <c:lblAlgn val="ctr"/>
        <c:lblOffset val="100"/>
      </c:catAx>
      <c:valAx>
        <c:axId val="96118656"/>
        <c:scaling>
          <c:orientation val="minMax"/>
        </c:scaling>
        <c:axPos val="l"/>
        <c:majorGridlines/>
        <c:title>
          <c:tx>
            <c:rich>
              <a:bodyPr/>
              <a:lstStyle/>
              <a:p>
                <a:pPr>
                  <a:defRPr/>
                </a:pPr>
                <a:r>
                  <a:rPr lang="lt-LT"/>
                  <a:t>Rodiklis 1000 gyv.</a:t>
                </a:r>
              </a:p>
            </c:rich>
          </c:tx>
          <c:layout>
            <c:manualLayout>
              <c:xMode val="edge"/>
              <c:yMode val="edge"/>
              <c:x val="4.5839561534628911E-2"/>
              <c:y val="0.19081073199183443"/>
            </c:manualLayout>
          </c:layout>
        </c:title>
        <c:numFmt formatCode="0.0" sourceLinked="1"/>
        <c:majorTickMark val="none"/>
        <c:tickLblPos val="nextTo"/>
        <c:crossAx val="9611712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Sheet3!$D$296</c:f>
              <c:strCache>
                <c:ptCount val="1"/>
                <c:pt idx="0">
                  <c:v> 0-17 m. </c:v>
                </c:pt>
              </c:strCache>
            </c:strRef>
          </c:tx>
          <c:marker>
            <c:symbol val="none"/>
          </c:marker>
          <c:cat>
            <c:numRef>
              <c:f>Sheet3!$C$297:$C$306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Sheet3!$D$297:$D$306</c:f>
              <c:numCache>
                <c:formatCode>0.0</c:formatCode>
                <c:ptCount val="10"/>
                <c:pt idx="0">
                  <c:v>14.333400000000006</c:v>
                </c:pt>
                <c:pt idx="1">
                  <c:v>13.972900000000006</c:v>
                </c:pt>
                <c:pt idx="2">
                  <c:v>15.918100000000001</c:v>
                </c:pt>
                <c:pt idx="3">
                  <c:v>13.572500000000026</c:v>
                </c:pt>
                <c:pt idx="4">
                  <c:v>24.646999999999988</c:v>
                </c:pt>
                <c:pt idx="5">
                  <c:v>27.535699999999864</c:v>
                </c:pt>
                <c:pt idx="6">
                  <c:v>25.847300000000001</c:v>
                </c:pt>
                <c:pt idx="7">
                  <c:v>25.87569999999986</c:v>
                </c:pt>
                <c:pt idx="8">
                  <c:v>26.484299999999841</c:v>
                </c:pt>
                <c:pt idx="9">
                  <c:v>26.8383</c:v>
                </c:pt>
              </c:numCache>
            </c:numRef>
          </c:val>
        </c:ser>
        <c:ser>
          <c:idx val="1"/>
          <c:order val="1"/>
          <c:tx>
            <c:strRef>
              <c:f>Sheet3!$E$296</c:f>
              <c:strCache>
                <c:ptCount val="1"/>
                <c:pt idx="0">
                  <c:v>18-44 m. </c:v>
                </c:pt>
              </c:strCache>
            </c:strRef>
          </c:tx>
          <c:spPr>
            <a:ln>
              <a:solidFill>
                <a:srgbClr val="F79646"/>
              </a:solidFill>
            </a:ln>
          </c:spPr>
          <c:marker>
            <c:symbol val="none"/>
          </c:marker>
          <c:cat>
            <c:numRef>
              <c:f>Sheet3!$C$297:$C$306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Sheet3!$E$297:$E$306</c:f>
              <c:numCache>
                <c:formatCode>0.0</c:formatCode>
                <c:ptCount val="10"/>
                <c:pt idx="0">
                  <c:v>34.230800000000002</c:v>
                </c:pt>
                <c:pt idx="1">
                  <c:v>29.684799999999989</c:v>
                </c:pt>
                <c:pt idx="2">
                  <c:v>29.910599999999889</c:v>
                </c:pt>
                <c:pt idx="3">
                  <c:v>34.149500000000003</c:v>
                </c:pt>
                <c:pt idx="4">
                  <c:v>36.295400000000235</c:v>
                </c:pt>
                <c:pt idx="5">
                  <c:v>37.735400000000013</c:v>
                </c:pt>
                <c:pt idx="6">
                  <c:v>39.077100000000002</c:v>
                </c:pt>
                <c:pt idx="7">
                  <c:v>39.065100000000243</c:v>
                </c:pt>
                <c:pt idx="8">
                  <c:v>38.698000000000235</c:v>
                </c:pt>
                <c:pt idx="9">
                  <c:v>38.668000000000013</c:v>
                </c:pt>
              </c:numCache>
            </c:numRef>
          </c:val>
        </c:ser>
        <c:ser>
          <c:idx val="2"/>
          <c:order val="2"/>
          <c:tx>
            <c:strRef>
              <c:f>Sheet3!$F$296</c:f>
              <c:strCache>
                <c:ptCount val="1"/>
                <c:pt idx="0">
                  <c:v>45-64 m. </c:v>
                </c:pt>
              </c:strCache>
            </c:strRef>
          </c:tx>
          <c:marker>
            <c:symbol val="none"/>
          </c:marker>
          <c:cat>
            <c:numRef>
              <c:f>Sheet3!$C$297:$C$306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Sheet3!$F$297:$F$306</c:f>
              <c:numCache>
                <c:formatCode>0.0</c:formatCode>
                <c:ptCount val="10"/>
                <c:pt idx="0">
                  <c:v>185.083</c:v>
                </c:pt>
                <c:pt idx="1">
                  <c:v>182.345</c:v>
                </c:pt>
                <c:pt idx="2">
                  <c:v>174.00300000000001</c:v>
                </c:pt>
                <c:pt idx="3">
                  <c:v>187.364</c:v>
                </c:pt>
                <c:pt idx="4">
                  <c:v>191.65</c:v>
                </c:pt>
                <c:pt idx="5">
                  <c:v>212.95700000000087</c:v>
                </c:pt>
                <c:pt idx="6">
                  <c:v>219.11699999999999</c:v>
                </c:pt>
                <c:pt idx="7">
                  <c:v>226.042</c:v>
                </c:pt>
                <c:pt idx="8">
                  <c:v>224.50200000000001</c:v>
                </c:pt>
                <c:pt idx="9">
                  <c:v>218.023</c:v>
                </c:pt>
              </c:numCache>
            </c:numRef>
          </c:val>
        </c:ser>
        <c:ser>
          <c:idx val="3"/>
          <c:order val="3"/>
          <c:tx>
            <c:strRef>
              <c:f>Sheet3!$G$296</c:f>
              <c:strCache>
                <c:ptCount val="1"/>
                <c:pt idx="0">
                  <c:v>Vyresni nei 65 m. </c:v>
                </c:pt>
              </c:strCache>
            </c:strRef>
          </c:tx>
          <c:marker>
            <c:symbol val="none"/>
          </c:marker>
          <c:cat>
            <c:numRef>
              <c:f>Sheet3!$C$297:$C$306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Sheet3!$G$297:$G$306</c:f>
              <c:numCache>
                <c:formatCode>0.0</c:formatCode>
                <c:ptCount val="10"/>
                <c:pt idx="0">
                  <c:v>383.40799999999899</c:v>
                </c:pt>
                <c:pt idx="1">
                  <c:v>393.82499999999999</c:v>
                </c:pt>
                <c:pt idx="2">
                  <c:v>385.03099999999893</c:v>
                </c:pt>
                <c:pt idx="3">
                  <c:v>400.57400000000001</c:v>
                </c:pt>
                <c:pt idx="4">
                  <c:v>413.613</c:v>
                </c:pt>
                <c:pt idx="5">
                  <c:v>448.08300000000003</c:v>
                </c:pt>
                <c:pt idx="6">
                  <c:v>455.27699999999777</c:v>
                </c:pt>
                <c:pt idx="7">
                  <c:v>470.96499999999969</c:v>
                </c:pt>
                <c:pt idx="8">
                  <c:v>480.52299999999963</c:v>
                </c:pt>
                <c:pt idx="9">
                  <c:v>478.28500000000003</c:v>
                </c:pt>
              </c:numCache>
            </c:numRef>
          </c:val>
        </c:ser>
        <c:marker val="1"/>
        <c:axId val="96216192"/>
        <c:axId val="96217728"/>
      </c:lineChart>
      <c:catAx>
        <c:axId val="96216192"/>
        <c:scaling>
          <c:orientation val="minMax"/>
        </c:scaling>
        <c:axPos val="b"/>
        <c:numFmt formatCode="General" sourceLinked="1"/>
        <c:majorTickMark val="none"/>
        <c:tickLblPos val="nextTo"/>
        <c:crossAx val="96217728"/>
        <c:crosses val="autoZero"/>
        <c:auto val="1"/>
        <c:lblAlgn val="ctr"/>
        <c:lblOffset val="100"/>
      </c:catAx>
      <c:valAx>
        <c:axId val="96217728"/>
        <c:scaling>
          <c:orientation val="minMax"/>
        </c:scaling>
        <c:axPos val="l"/>
        <c:majorGridlines/>
        <c:title>
          <c:tx>
            <c:rich>
              <a:bodyPr/>
              <a:lstStyle/>
              <a:p>
                <a:pPr>
                  <a:defRPr/>
                </a:pPr>
                <a:r>
                  <a:rPr lang="lt-LT"/>
                  <a:t>Rodiklis 1000 gyv.</a:t>
                </a:r>
              </a:p>
            </c:rich>
          </c:tx>
          <c:layout>
            <c:manualLayout>
              <c:xMode val="edge"/>
              <c:yMode val="edge"/>
              <c:x val="5.8394160583941833E-2"/>
              <c:y val="0.14914406532516791"/>
            </c:manualLayout>
          </c:layout>
        </c:title>
        <c:numFmt formatCode="0.0" sourceLinked="1"/>
        <c:majorTickMark val="none"/>
        <c:tickLblPos val="nextTo"/>
        <c:crossAx val="96216192"/>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lt-LT"/>
  <c:chart>
    <c:view3D>
      <c:rAngAx val="1"/>
    </c:view3D>
    <c:plotArea>
      <c:layout/>
      <c:bar3DChart>
        <c:barDir val="bar"/>
        <c:grouping val="clustered"/>
        <c:ser>
          <c:idx val="0"/>
          <c:order val="0"/>
          <c:tx>
            <c:strRef>
              <c:f>Sheet3!$C$323</c:f>
              <c:strCache>
                <c:ptCount val="1"/>
                <c:pt idx="0">
                  <c:v>2009</c:v>
                </c:pt>
              </c:strCache>
            </c:strRef>
          </c:tx>
          <c:dLbls>
            <c:dLbl>
              <c:idx val="1"/>
              <c:layout>
                <c:manualLayout>
                  <c:x val="2.0325203252032522E-3"/>
                  <c:y val="2.3148148148148147E-2"/>
                </c:manualLayout>
              </c:layout>
              <c:showVal val="1"/>
            </c:dLbl>
            <c:dLbl>
              <c:idx val="3"/>
              <c:layout>
                <c:manualLayout>
                  <c:x val="-2.0325203252032522E-3"/>
                  <c:y val="2.7777777777778165E-2"/>
                </c:manualLayout>
              </c:layout>
              <c:showVal val="1"/>
            </c:dLbl>
            <c:dLbl>
              <c:idx val="4"/>
              <c:layout>
                <c:manualLayout>
                  <c:x val="4.0650406504065054E-3"/>
                  <c:y val="2.7777777777778165E-2"/>
                </c:manualLayout>
              </c:layout>
              <c:showVal val="1"/>
            </c:dLbl>
            <c:dLbl>
              <c:idx val="5"/>
              <c:layout>
                <c:manualLayout>
                  <c:x val="0"/>
                  <c:y val="1.3888888888889018E-2"/>
                </c:manualLayout>
              </c:layout>
              <c:showVal val="1"/>
            </c:dLbl>
            <c:dLbl>
              <c:idx val="7"/>
              <c:layout>
                <c:manualLayout>
                  <c:x val="0"/>
                  <c:y val="1.3888888888889018E-2"/>
                </c:manualLayout>
              </c:layout>
              <c:showVal val="1"/>
            </c:dLbl>
            <c:dLbl>
              <c:idx val="8"/>
              <c:layout>
                <c:manualLayout>
                  <c:x val="0"/>
                  <c:y val="2.7777777777778206E-2"/>
                </c:manualLayout>
              </c:layout>
              <c:showVal val="1"/>
            </c:dLbl>
            <c:dLbl>
              <c:idx val="9"/>
              <c:layout>
                <c:manualLayout>
                  <c:x val="8.130081300813009E-3"/>
                  <c:y val="4.1666666666666664E-2"/>
                </c:manualLayout>
              </c:layout>
              <c:showVal val="1"/>
            </c:dLbl>
            <c:txPr>
              <a:bodyPr/>
              <a:lstStyle/>
              <a:p>
                <a:pPr>
                  <a:defRPr b="1"/>
                </a:pPr>
                <a:endParaRPr lang="lt-LT"/>
              </a:p>
            </c:txPr>
            <c:showVal val="1"/>
          </c:dLbls>
          <c:cat>
            <c:multiLvlStrRef>
              <c:f>Sheet3!$D$321:$M$322</c:f>
              <c:multiLvlStrCache>
                <c:ptCount val="10"/>
                <c:lvl>
                  <c:pt idx="0">
                    <c:v>insultas</c:v>
                  </c:pt>
                  <c:pt idx="1">
                    <c:v>Cerebrovaskulinės ligos, iš jų:</c:v>
                  </c:pt>
                  <c:pt idx="2">
                    <c:v>miokardo infarktas</c:v>
                  </c:pt>
                  <c:pt idx="3">
                    <c:v>Išeminė širdies liga, iš jos:</c:v>
                  </c:pt>
                  <c:pt idx="4">
                    <c:v>Hipertenzinės ligos</c:v>
                  </c:pt>
                  <c:pt idx="5">
                    <c:v>insultas</c:v>
                  </c:pt>
                  <c:pt idx="6">
                    <c:v>Cerebrovaskulinės ligos, iš jų:</c:v>
                  </c:pt>
                  <c:pt idx="7">
                    <c:v>miokardo infarktas</c:v>
                  </c:pt>
                  <c:pt idx="8">
                    <c:v>Išeminė širdies liga, iš jos:</c:v>
                  </c:pt>
                  <c:pt idx="9">
                    <c:v>Hipertenzinės ligos</c:v>
                  </c:pt>
                </c:lvl>
                <c:lvl>
                  <c:pt idx="0">
                    <c:v>Vilniaus r.</c:v>
                  </c:pt>
                  <c:pt idx="5">
                    <c:v>Lietuva</c:v>
                  </c:pt>
                </c:lvl>
              </c:multiLvlStrCache>
            </c:multiLvlStrRef>
          </c:cat>
          <c:val>
            <c:numRef>
              <c:f>Sheet3!$D$323:$M$323</c:f>
              <c:numCache>
                <c:formatCode>0.0</c:formatCode>
                <c:ptCount val="10"/>
                <c:pt idx="0">
                  <c:v>6.6240999999999755</c:v>
                </c:pt>
                <c:pt idx="1">
                  <c:v>35.4773</c:v>
                </c:pt>
                <c:pt idx="2">
                  <c:v>1.4742999999999926</c:v>
                </c:pt>
                <c:pt idx="3">
                  <c:v>28.6767</c:v>
                </c:pt>
                <c:pt idx="4">
                  <c:v>100.62799999999999</c:v>
                </c:pt>
                <c:pt idx="5">
                  <c:v>6.4768000000000034</c:v>
                </c:pt>
                <c:pt idx="6">
                  <c:v>29.474</c:v>
                </c:pt>
                <c:pt idx="7">
                  <c:v>2.097</c:v>
                </c:pt>
                <c:pt idx="8">
                  <c:v>45.4589</c:v>
                </c:pt>
                <c:pt idx="9">
                  <c:v>137.68700000000001</c:v>
                </c:pt>
              </c:numCache>
            </c:numRef>
          </c:val>
        </c:ser>
        <c:ser>
          <c:idx val="1"/>
          <c:order val="1"/>
          <c:tx>
            <c:strRef>
              <c:f>Sheet3!$C$324</c:f>
              <c:strCache>
                <c:ptCount val="1"/>
                <c:pt idx="0">
                  <c:v>2010</c:v>
                </c:pt>
              </c:strCache>
            </c:strRef>
          </c:tx>
          <c:spPr>
            <a:solidFill>
              <a:schemeClr val="accent6"/>
            </a:solidFill>
            <a:ln>
              <a:solidFill>
                <a:schemeClr val="accent2"/>
              </a:solidFill>
            </a:ln>
          </c:spPr>
          <c:dLbls>
            <c:dLbl>
              <c:idx val="0"/>
              <c:layout>
                <c:manualLayout>
                  <c:x val="2.0325203252032522E-3"/>
                  <c:y val="-1.3888888888889027E-2"/>
                </c:manualLayout>
              </c:layout>
              <c:showVal val="1"/>
            </c:dLbl>
            <c:dLbl>
              <c:idx val="2"/>
              <c:layout>
                <c:manualLayout>
                  <c:x val="0"/>
                  <c:y val="-1.3888888888889027E-2"/>
                </c:manualLayout>
              </c:layout>
              <c:showVal val="1"/>
            </c:dLbl>
            <c:dLbl>
              <c:idx val="4"/>
              <c:layout>
                <c:manualLayout>
                  <c:x val="1.0162601626016281E-2"/>
                  <c:y val="-2.3148148148148147E-2"/>
                </c:manualLayout>
              </c:layout>
              <c:showVal val="1"/>
            </c:dLbl>
            <c:dLbl>
              <c:idx val="5"/>
              <c:layout>
                <c:manualLayout>
                  <c:x val="0"/>
                  <c:y val="-1.3888888888889018E-2"/>
                </c:manualLayout>
              </c:layout>
              <c:showVal val="1"/>
            </c:dLbl>
            <c:dLbl>
              <c:idx val="6"/>
              <c:layout>
                <c:manualLayout>
                  <c:x val="0"/>
                  <c:y val="-2.7777777777778165E-2"/>
                </c:manualLayout>
              </c:layout>
              <c:showVal val="1"/>
            </c:dLbl>
            <c:dLbl>
              <c:idx val="7"/>
              <c:layout>
                <c:manualLayout>
                  <c:x val="0"/>
                  <c:y val="-9.2592592592593784E-3"/>
                </c:manualLayout>
              </c:layout>
              <c:showVal val="1"/>
            </c:dLbl>
            <c:txPr>
              <a:bodyPr/>
              <a:lstStyle/>
              <a:p>
                <a:pPr>
                  <a:defRPr b="1"/>
                </a:pPr>
                <a:endParaRPr lang="lt-LT"/>
              </a:p>
            </c:txPr>
            <c:showVal val="1"/>
          </c:dLbls>
          <c:cat>
            <c:multiLvlStrRef>
              <c:f>Sheet3!$D$321:$M$322</c:f>
              <c:multiLvlStrCache>
                <c:ptCount val="10"/>
                <c:lvl>
                  <c:pt idx="0">
                    <c:v>insultas</c:v>
                  </c:pt>
                  <c:pt idx="1">
                    <c:v>Cerebrovaskulinės ligos, iš jų:</c:v>
                  </c:pt>
                  <c:pt idx="2">
                    <c:v>miokardo infarktas</c:v>
                  </c:pt>
                  <c:pt idx="3">
                    <c:v>Išeminė širdies liga, iš jos:</c:v>
                  </c:pt>
                  <c:pt idx="4">
                    <c:v>Hipertenzinės ligos</c:v>
                  </c:pt>
                  <c:pt idx="5">
                    <c:v>insultas</c:v>
                  </c:pt>
                  <c:pt idx="6">
                    <c:v>Cerebrovaskulinės ligos, iš jų:</c:v>
                  </c:pt>
                  <c:pt idx="7">
                    <c:v>miokardo infarktas</c:v>
                  </c:pt>
                  <c:pt idx="8">
                    <c:v>Išeminė širdies liga, iš jos:</c:v>
                  </c:pt>
                  <c:pt idx="9">
                    <c:v>Hipertenzinės ligos</c:v>
                  </c:pt>
                </c:lvl>
                <c:lvl>
                  <c:pt idx="0">
                    <c:v>Vilniaus r.</c:v>
                  </c:pt>
                  <c:pt idx="5">
                    <c:v>Lietuva</c:v>
                  </c:pt>
                </c:lvl>
              </c:multiLvlStrCache>
            </c:multiLvlStrRef>
          </c:cat>
          <c:val>
            <c:numRef>
              <c:f>Sheet3!$D$324:$M$324</c:f>
              <c:numCache>
                <c:formatCode>0.0</c:formatCode>
                <c:ptCount val="10"/>
                <c:pt idx="0">
                  <c:v>6.4339000000000004</c:v>
                </c:pt>
                <c:pt idx="1">
                  <c:v>34.778500000000243</c:v>
                </c:pt>
                <c:pt idx="2">
                  <c:v>1.9020999999999999</c:v>
                </c:pt>
                <c:pt idx="3">
                  <c:v>27.274000000000001</c:v>
                </c:pt>
                <c:pt idx="4">
                  <c:v>98.026200000000003</c:v>
                </c:pt>
                <c:pt idx="5">
                  <c:v>6.8132999999999999</c:v>
                </c:pt>
                <c:pt idx="6">
                  <c:v>31.273099999999989</c:v>
                </c:pt>
                <c:pt idx="7">
                  <c:v>2.3374999999999977</c:v>
                </c:pt>
                <c:pt idx="8">
                  <c:v>47.545000000000002</c:v>
                </c:pt>
                <c:pt idx="9">
                  <c:v>144.20599999999999</c:v>
                </c:pt>
              </c:numCache>
            </c:numRef>
          </c:val>
        </c:ser>
        <c:shape val="cylinder"/>
        <c:axId val="96261632"/>
        <c:axId val="96263168"/>
        <c:axId val="0"/>
      </c:bar3DChart>
      <c:catAx>
        <c:axId val="96261632"/>
        <c:scaling>
          <c:orientation val="minMax"/>
        </c:scaling>
        <c:axPos val="l"/>
        <c:tickLblPos val="nextTo"/>
        <c:crossAx val="96263168"/>
        <c:crosses val="autoZero"/>
        <c:auto val="1"/>
        <c:lblAlgn val="ctr"/>
        <c:lblOffset val="100"/>
      </c:catAx>
      <c:valAx>
        <c:axId val="96263168"/>
        <c:scaling>
          <c:orientation val="minMax"/>
        </c:scaling>
        <c:axPos val="b"/>
        <c:majorGridlines/>
        <c:numFmt formatCode="0.0" sourceLinked="1"/>
        <c:tickLblPos val="nextTo"/>
        <c:crossAx val="96261632"/>
        <c:crosses val="autoZero"/>
        <c:crossBetween val="between"/>
      </c:valAx>
    </c:plotArea>
    <c:legend>
      <c:legendPos val="r"/>
    </c:legend>
    <c:plotVisOnly val="1"/>
  </c:chart>
  <c:txPr>
    <a:bodyPr/>
    <a:lstStyle/>
    <a:p>
      <a:pPr>
        <a:defRPr>
          <a:latin typeface="Times New Roman" pitchFamily="18" charset="0"/>
          <a:cs typeface="Times New Roman" pitchFamily="18" charset="0"/>
        </a:defRPr>
      </a:pPr>
      <a:endParaRPr lang="lt-LT"/>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'onkologiniai susirgimai'!$C$3</c:f>
              <c:strCache>
                <c:ptCount val="1"/>
                <c:pt idx="0">
                  <c:v>Vilniaus r.</c:v>
                </c:pt>
              </c:strCache>
            </c:strRef>
          </c:tx>
          <c:marker>
            <c:symbol val="none"/>
          </c:marker>
          <c:cat>
            <c:numRef>
              <c:f>'onkologiniai susirgimai'!$B$4:$B$13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'onkologiniai susirgimai'!$C$4:$C$13</c:f>
              <c:numCache>
                <c:formatCode>General</c:formatCode>
                <c:ptCount val="10"/>
                <c:pt idx="0">
                  <c:v>7.5</c:v>
                </c:pt>
                <c:pt idx="1">
                  <c:v>8.8000000000000007</c:v>
                </c:pt>
                <c:pt idx="2">
                  <c:v>8.5</c:v>
                </c:pt>
                <c:pt idx="3">
                  <c:v>8.4</c:v>
                </c:pt>
                <c:pt idx="4">
                  <c:v>9.8000000000000007</c:v>
                </c:pt>
                <c:pt idx="5">
                  <c:v>11</c:v>
                </c:pt>
                <c:pt idx="6">
                  <c:v>11.5</c:v>
                </c:pt>
                <c:pt idx="7">
                  <c:v>12.6</c:v>
                </c:pt>
                <c:pt idx="8">
                  <c:v>11.9</c:v>
                </c:pt>
                <c:pt idx="9">
                  <c:v>13</c:v>
                </c:pt>
              </c:numCache>
            </c:numRef>
          </c:val>
        </c:ser>
        <c:ser>
          <c:idx val="1"/>
          <c:order val="1"/>
          <c:tx>
            <c:strRef>
              <c:f>'onkologiniai susirgimai'!$D$3</c:f>
              <c:strCache>
                <c:ptCount val="1"/>
                <c:pt idx="0">
                  <c:v>Lietuva</c:v>
                </c:pt>
              </c:strCache>
            </c:strRef>
          </c:tx>
          <c:marker>
            <c:symbol val="none"/>
          </c:marker>
          <c:cat>
            <c:numRef>
              <c:f>'onkologiniai susirgimai'!$B$4:$B$13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'onkologiniai susirgimai'!$D$4:$D$13</c:f>
              <c:numCache>
                <c:formatCode>General</c:formatCode>
                <c:ptCount val="10"/>
                <c:pt idx="0">
                  <c:v>8.6</c:v>
                </c:pt>
                <c:pt idx="1">
                  <c:v>9.9</c:v>
                </c:pt>
                <c:pt idx="2">
                  <c:v>10.9</c:v>
                </c:pt>
                <c:pt idx="3">
                  <c:v>11.8</c:v>
                </c:pt>
                <c:pt idx="4">
                  <c:v>13.3</c:v>
                </c:pt>
                <c:pt idx="5">
                  <c:v>14.3</c:v>
                </c:pt>
                <c:pt idx="6">
                  <c:v>15.2</c:v>
                </c:pt>
                <c:pt idx="7">
                  <c:v>16.600000000000001</c:v>
                </c:pt>
                <c:pt idx="8">
                  <c:v>17.5</c:v>
                </c:pt>
                <c:pt idx="9">
                  <c:v>19.2</c:v>
                </c:pt>
              </c:numCache>
            </c:numRef>
          </c:val>
        </c:ser>
        <c:marker val="1"/>
        <c:axId val="96382336"/>
        <c:axId val="96404608"/>
      </c:lineChart>
      <c:catAx>
        <c:axId val="96382336"/>
        <c:scaling>
          <c:orientation val="minMax"/>
        </c:scaling>
        <c:axPos val="b"/>
        <c:numFmt formatCode="General" sourceLinked="1"/>
        <c:tickLblPos val="nextTo"/>
        <c:crossAx val="96404608"/>
        <c:crosses val="autoZero"/>
        <c:auto val="1"/>
        <c:lblAlgn val="ctr"/>
        <c:lblOffset val="100"/>
      </c:catAx>
      <c:valAx>
        <c:axId val="96404608"/>
        <c:scaling>
          <c:orientation val="minMax"/>
        </c:scaling>
        <c:axPos val="l"/>
        <c:majorGridlines/>
        <c:title>
          <c:tx>
            <c:rich>
              <a:bodyPr rot="-5400000" vert="horz"/>
              <a:lstStyle/>
              <a:p>
                <a:pPr>
                  <a:defRPr b="0"/>
                </a:pPr>
                <a:r>
                  <a:rPr lang="lt-LT" b="0"/>
                  <a:t>Rodiklis 1000 gyventojų</a:t>
                </a:r>
              </a:p>
            </c:rich>
          </c:tx>
          <c:layout>
            <c:manualLayout>
              <c:xMode val="edge"/>
              <c:yMode val="edge"/>
              <c:x val="6.0778727445394122E-2"/>
              <c:y val="0.24199867016623119"/>
            </c:manualLayout>
          </c:layout>
        </c:title>
        <c:numFmt formatCode="General" sourceLinked="1"/>
        <c:tickLblPos val="nextTo"/>
        <c:crossAx val="96382336"/>
        <c:crosses val="autoZero"/>
        <c:crossBetween val="between"/>
      </c:valAx>
      <c:dTable>
        <c:showHorzBorder val="1"/>
        <c:showVertBorder val="1"/>
        <c:showOutline val="1"/>
        <c:showKeys val="1"/>
        <c:txPr>
          <a:bodyPr/>
          <a:lstStyle/>
          <a:p>
            <a:pPr rtl="0">
              <a:defRPr sz="800"/>
            </a:pPr>
            <a:endParaRPr lang="lt-LT"/>
          </a:p>
        </c:txPr>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0.15198376458650545"/>
          <c:y val="5.5555555555555455E-2"/>
          <c:w val="0.80336884830035449"/>
          <c:h val="0.69455730533683258"/>
        </c:manualLayout>
      </c:layout>
      <c:lineChart>
        <c:grouping val="standard"/>
        <c:ser>
          <c:idx val="0"/>
          <c:order val="0"/>
          <c:tx>
            <c:strRef>
              <c:f>'onkologiniai susirgimai'!$O$23</c:f>
              <c:strCache>
                <c:ptCount val="1"/>
                <c:pt idx="0">
                  <c:v>0-17 m. </c:v>
                </c:pt>
              </c:strCache>
            </c:strRef>
          </c:tx>
          <c:marker>
            <c:symbol val="none"/>
          </c:marker>
          <c:cat>
            <c:numRef>
              <c:f>'onkologiniai susirgimai'!$N$24:$N$33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'onkologiniai susirgimai'!$O$24:$O$33</c:f>
              <c:numCache>
                <c:formatCode>General</c:formatCode>
                <c:ptCount val="10"/>
                <c:pt idx="0">
                  <c:v>31.55</c:v>
                </c:pt>
                <c:pt idx="1">
                  <c:v>41.230000000000011</c:v>
                </c:pt>
                <c:pt idx="2">
                  <c:v>60.51</c:v>
                </c:pt>
                <c:pt idx="3">
                  <c:v>52.2</c:v>
                </c:pt>
                <c:pt idx="4">
                  <c:v>38.809999999999995</c:v>
                </c:pt>
                <c:pt idx="5">
                  <c:v>44.57</c:v>
                </c:pt>
                <c:pt idx="6">
                  <c:v>70.400000000000006</c:v>
                </c:pt>
                <c:pt idx="7">
                  <c:v>101.66999999999999</c:v>
                </c:pt>
                <c:pt idx="8">
                  <c:v>87.09</c:v>
                </c:pt>
                <c:pt idx="9">
                  <c:v>98.25</c:v>
                </c:pt>
              </c:numCache>
            </c:numRef>
          </c:val>
        </c:ser>
        <c:ser>
          <c:idx val="1"/>
          <c:order val="1"/>
          <c:tx>
            <c:strRef>
              <c:f>'onkologiniai susirgimai'!$P$23</c:f>
              <c:strCache>
                <c:ptCount val="1"/>
                <c:pt idx="0">
                  <c:v>18-44 m. </c:v>
                </c:pt>
              </c:strCache>
            </c:strRef>
          </c:tx>
          <c:marker>
            <c:symbol val="none"/>
          </c:marker>
          <c:cat>
            <c:numRef>
              <c:f>'onkologiniai susirgimai'!$N$24:$N$33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'onkologiniai susirgimai'!$P$24:$P$33</c:f>
              <c:numCache>
                <c:formatCode>General</c:formatCode>
                <c:ptCount val="10"/>
                <c:pt idx="0">
                  <c:v>168.62</c:v>
                </c:pt>
                <c:pt idx="1">
                  <c:v>191.78</c:v>
                </c:pt>
                <c:pt idx="2">
                  <c:v>215.4</c:v>
                </c:pt>
                <c:pt idx="3">
                  <c:v>265.55</c:v>
                </c:pt>
                <c:pt idx="4">
                  <c:v>237.28</c:v>
                </c:pt>
                <c:pt idx="5">
                  <c:v>268.62</c:v>
                </c:pt>
                <c:pt idx="6">
                  <c:v>279.12</c:v>
                </c:pt>
                <c:pt idx="7">
                  <c:v>280.47999999999894</c:v>
                </c:pt>
                <c:pt idx="8">
                  <c:v>235.9</c:v>
                </c:pt>
                <c:pt idx="9">
                  <c:v>293.75</c:v>
                </c:pt>
              </c:numCache>
            </c:numRef>
          </c:val>
        </c:ser>
        <c:ser>
          <c:idx val="2"/>
          <c:order val="2"/>
          <c:tx>
            <c:strRef>
              <c:f>'onkologiniai susirgimai'!$Q$23</c:f>
              <c:strCache>
                <c:ptCount val="1"/>
                <c:pt idx="0">
                  <c:v>45-64 m. </c:v>
                </c:pt>
              </c:strCache>
            </c:strRef>
          </c:tx>
          <c:marker>
            <c:symbol val="none"/>
          </c:marker>
          <c:cat>
            <c:numRef>
              <c:f>'onkologiniai susirgimai'!$N$24:$N$33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'onkologiniai susirgimai'!$Q$24:$Q$33</c:f>
              <c:numCache>
                <c:formatCode>General</c:formatCode>
                <c:ptCount val="10"/>
                <c:pt idx="0">
                  <c:v>1405.56</c:v>
                </c:pt>
                <c:pt idx="1">
                  <c:v>1530.56</c:v>
                </c:pt>
                <c:pt idx="2">
                  <c:v>1492.02</c:v>
                </c:pt>
                <c:pt idx="3">
                  <c:v>1486.04</c:v>
                </c:pt>
                <c:pt idx="4">
                  <c:v>1706.59</c:v>
                </c:pt>
                <c:pt idx="5">
                  <c:v>1758.81</c:v>
                </c:pt>
                <c:pt idx="6">
                  <c:v>1990.8</c:v>
                </c:pt>
                <c:pt idx="7">
                  <c:v>2133.8100000000022</c:v>
                </c:pt>
                <c:pt idx="8">
                  <c:v>1958.06</c:v>
                </c:pt>
                <c:pt idx="9">
                  <c:v>2044.59</c:v>
                </c:pt>
              </c:numCache>
            </c:numRef>
          </c:val>
        </c:ser>
        <c:ser>
          <c:idx val="3"/>
          <c:order val="3"/>
          <c:tx>
            <c:strRef>
              <c:f>'onkologiniai susirgimai'!$R$23</c:f>
              <c:strCache>
                <c:ptCount val="1"/>
                <c:pt idx="0">
                  <c:v>65+ m. </c:v>
                </c:pt>
              </c:strCache>
            </c:strRef>
          </c:tx>
          <c:marker>
            <c:symbol val="none"/>
          </c:marker>
          <c:cat>
            <c:numRef>
              <c:f>'onkologiniai susirgimai'!$N$24:$N$33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'onkologiniai susirgimai'!$R$24:$R$33</c:f>
              <c:numCache>
                <c:formatCode>General</c:formatCode>
                <c:ptCount val="10"/>
                <c:pt idx="0">
                  <c:v>3358.77</c:v>
                </c:pt>
                <c:pt idx="1">
                  <c:v>3557.68</c:v>
                </c:pt>
                <c:pt idx="2">
                  <c:v>3414.19</c:v>
                </c:pt>
                <c:pt idx="3">
                  <c:v>3172.13</c:v>
                </c:pt>
                <c:pt idx="4">
                  <c:v>3810.4500000000012</c:v>
                </c:pt>
                <c:pt idx="5">
                  <c:v>4352.76</c:v>
                </c:pt>
                <c:pt idx="6">
                  <c:v>4411.88</c:v>
                </c:pt>
                <c:pt idx="7">
                  <c:v>4919.21</c:v>
                </c:pt>
                <c:pt idx="8">
                  <c:v>5017.63</c:v>
                </c:pt>
                <c:pt idx="9">
                  <c:v>5165.26</c:v>
                </c:pt>
              </c:numCache>
            </c:numRef>
          </c:val>
        </c:ser>
        <c:marker val="1"/>
        <c:axId val="96428800"/>
        <c:axId val="96430336"/>
      </c:lineChart>
      <c:catAx>
        <c:axId val="96428800"/>
        <c:scaling>
          <c:orientation val="minMax"/>
        </c:scaling>
        <c:axPos val="b"/>
        <c:numFmt formatCode="General" sourceLinked="1"/>
        <c:tickLblPos val="nextTo"/>
        <c:crossAx val="96430336"/>
        <c:crosses val="autoZero"/>
        <c:auto val="1"/>
        <c:lblAlgn val="ctr"/>
        <c:lblOffset val="100"/>
      </c:catAx>
      <c:valAx>
        <c:axId val="96430336"/>
        <c:scaling>
          <c:orientation val="minMax"/>
          <c:max val="5500"/>
          <c:min val="0"/>
        </c:scaling>
        <c:axPos val="l"/>
        <c:majorGridlines/>
        <c:title>
          <c:tx>
            <c:rich>
              <a:bodyPr rot="-5400000" vert="horz"/>
              <a:lstStyle/>
              <a:p>
                <a:pPr>
                  <a:defRPr b="0"/>
                </a:pPr>
                <a:r>
                  <a:rPr lang="lt-LT" b="0"/>
                  <a:t>Rodiklis 100000 gyventojų</a:t>
                </a:r>
              </a:p>
            </c:rich>
          </c:tx>
          <c:layout>
            <c:manualLayout>
              <c:xMode val="edge"/>
              <c:yMode val="edge"/>
              <c:x val="2.3099989213677057E-2"/>
              <c:y val="0.19005628463108779"/>
            </c:manualLayout>
          </c:layout>
        </c:title>
        <c:numFmt formatCode="General" sourceLinked="1"/>
        <c:tickLblPos val="nextTo"/>
        <c:crossAx val="96428800"/>
        <c:crosses val="autoZero"/>
        <c:crossBetween val="between"/>
      </c:valAx>
      <c:dTable>
        <c:showHorzBorder val="1"/>
        <c:showVertBorder val="1"/>
        <c:showOutline val="1"/>
        <c:showKeys val="1"/>
        <c:txPr>
          <a:bodyPr/>
          <a:lstStyle/>
          <a:p>
            <a:pPr rtl="0">
              <a:defRPr sz="800"/>
            </a:pPr>
            <a:endParaRPr lang="lt-LT"/>
          </a:p>
        </c:txPr>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'Trauma 2010'!$CG$5</c:f>
              <c:strCache>
                <c:ptCount val="1"/>
                <c:pt idx="0">
                  <c:v>Lietuva</c:v>
                </c:pt>
              </c:strCache>
            </c:strRef>
          </c:tx>
          <c:spPr>
            <a:ln>
              <a:solidFill>
                <a:schemeClr val="accent3">
                  <a:lumMod val="75000"/>
                </a:schemeClr>
              </a:solidFill>
            </a:ln>
          </c:spPr>
          <c:marker>
            <c:symbol val="none"/>
          </c:marker>
          <c:cat>
            <c:numRef>
              <c:f>'Trauma 2010'!$CF$6:$CF$15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2010'!$CG$6:$CG$15</c:f>
              <c:numCache>
                <c:formatCode>0.0</c:formatCode>
                <c:ptCount val="10"/>
                <c:pt idx="0">
                  <c:v>8583.02</c:v>
                </c:pt>
                <c:pt idx="1">
                  <c:v>8964.02</c:v>
                </c:pt>
                <c:pt idx="2">
                  <c:v>9452.25</c:v>
                </c:pt>
                <c:pt idx="3">
                  <c:v>9625.83</c:v>
                </c:pt>
                <c:pt idx="4">
                  <c:v>9927.59</c:v>
                </c:pt>
                <c:pt idx="5">
                  <c:v>9593.02</c:v>
                </c:pt>
                <c:pt idx="6">
                  <c:v>9458.7400000000089</c:v>
                </c:pt>
                <c:pt idx="7">
                  <c:v>9338.1</c:v>
                </c:pt>
                <c:pt idx="8">
                  <c:v>8821.1400000000049</c:v>
                </c:pt>
                <c:pt idx="9">
                  <c:v>8778.8499999999185</c:v>
                </c:pt>
              </c:numCache>
            </c:numRef>
          </c:val>
        </c:ser>
        <c:ser>
          <c:idx val="1"/>
          <c:order val="1"/>
          <c:tx>
            <c:strRef>
              <c:f>'Trauma 2010'!$CJ$5</c:f>
              <c:strCache>
                <c:ptCount val="1"/>
                <c:pt idx="0">
                  <c:v>Vilniaus r.</c:v>
                </c:pt>
              </c:strCache>
            </c:strRef>
          </c:tx>
          <c:spPr>
            <a:ln>
              <a:solidFill>
                <a:srgbClr val="FF5050"/>
              </a:solidFill>
            </a:ln>
          </c:spPr>
          <c:marker>
            <c:symbol val="none"/>
          </c:marker>
          <c:cat>
            <c:numRef>
              <c:f>'Trauma 2010'!$CF$6:$CF$15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2010'!$CJ$6:$CJ$15</c:f>
              <c:numCache>
                <c:formatCode>0.0</c:formatCode>
                <c:ptCount val="10"/>
                <c:pt idx="0">
                  <c:v>8590.92</c:v>
                </c:pt>
                <c:pt idx="1">
                  <c:v>8884.98</c:v>
                </c:pt>
                <c:pt idx="2">
                  <c:v>9139.26</c:v>
                </c:pt>
                <c:pt idx="3">
                  <c:v>9189.8499999999185</c:v>
                </c:pt>
                <c:pt idx="4">
                  <c:v>10064.6</c:v>
                </c:pt>
                <c:pt idx="5">
                  <c:v>10661.9</c:v>
                </c:pt>
                <c:pt idx="6">
                  <c:v>10636.8</c:v>
                </c:pt>
                <c:pt idx="7">
                  <c:v>10585.5</c:v>
                </c:pt>
                <c:pt idx="8">
                  <c:v>9270.6200000000008</c:v>
                </c:pt>
                <c:pt idx="9">
                  <c:v>8809.99</c:v>
                </c:pt>
              </c:numCache>
            </c:numRef>
          </c:val>
        </c:ser>
        <c:marker val="1"/>
        <c:axId val="96493568"/>
        <c:axId val="96495104"/>
      </c:lineChart>
      <c:catAx>
        <c:axId val="96493568"/>
        <c:scaling>
          <c:orientation val="minMax"/>
        </c:scaling>
        <c:axPos val="b"/>
        <c:numFmt formatCode="General" sourceLinked="1"/>
        <c:tickLblPos val="nextTo"/>
        <c:crossAx val="96495104"/>
        <c:crosses val="autoZero"/>
        <c:auto val="1"/>
        <c:lblAlgn val="ctr"/>
        <c:lblOffset val="100"/>
      </c:catAx>
      <c:valAx>
        <c:axId val="96495104"/>
        <c:scaling>
          <c:orientation val="minMax"/>
          <c:min val="8000"/>
        </c:scaling>
        <c:axPos val="l"/>
        <c:majorGridlines/>
        <c:title>
          <c:tx>
            <c:rich>
              <a:bodyPr rot="-5400000" vert="horz"/>
              <a:lstStyle/>
              <a:p>
                <a:pPr>
                  <a:defRPr/>
                </a:pPr>
                <a:r>
                  <a:rPr lang="en-US"/>
                  <a:t>Rodiklis 100000 gyv.</a:t>
                </a:r>
                <a:endParaRPr lang="lt-LT"/>
              </a:p>
            </c:rich>
          </c:tx>
        </c:title>
        <c:numFmt formatCode="0" sourceLinked="0"/>
        <c:tickLblPos val="nextTo"/>
        <c:crossAx val="9649356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'Trauma 2010'!$O$5</c:f>
              <c:strCache>
                <c:ptCount val="1"/>
                <c:pt idx="0">
                  <c:v>Lietuva</c:v>
                </c:pt>
              </c:strCache>
            </c:strRef>
          </c:tx>
          <c:spPr>
            <a:ln>
              <a:solidFill>
                <a:schemeClr val="accent3">
                  <a:lumMod val="75000"/>
                </a:schemeClr>
              </a:solidFill>
            </a:ln>
          </c:spPr>
          <c:marker>
            <c:symbol val="none"/>
          </c:marker>
          <c:cat>
            <c:numRef>
              <c:f>'Trauma 2010'!$N$6:$N$15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2010'!$O$6:$O$15</c:f>
              <c:numCache>
                <c:formatCode>0.0</c:formatCode>
                <c:ptCount val="10"/>
                <c:pt idx="0">
                  <c:v>204.03</c:v>
                </c:pt>
                <c:pt idx="1">
                  <c:v>214.12</c:v>
                </c:pt>
                <c:pt idx="2">
                  <c:v>210.35000000000099</c:v>
                </c:pt>
                <c:pt idx="3">
                  <c:v>229.8</c:v>
                </c:pt>
                <c:pt idx="4">
                  <c:v>247.99</c:v>
                </c:pt>
                <c:pt idx="5">
                  <c:v>243.19</c:v>
                </c:pt>
                <c:pt idx="6">
                  <c:v>238.26999999999998</c:v>
                </c:pt>
                <c:pt idx="7">
                  <c:v>173.25</c:v>
                </c:pt>
                <c:pt idx="8">
                  <c:v>132.54</c:v>
                </c:pt>
                <c:pt idx="9">
                  <c:v>131.68</c:v>
                </c:pt>
              </c:numCache>
            </c:numRef>
          </c:val>
        </c:ser>
        <c:ser>
          <c:idx val="1"/>
          <c:order val="1"/>
          <c:tx>
            <c:strRef>
              <c:f>'Trauma 2010'!$R$5</c:f>
              <c:strCache>
                <c:ptCount val="1"/>
                <c:pt idx="0">
                  <c:v>Vilniaus r.</c:v>
                </c:pt>
              </c:strCache>
            </c:strRef>
          </c:tx>
          <c:spPr>
            <a:ln>
              <a:solidFill>
                <a:srgbClr val="FF5050"/>
              </a:solidFill>
            </a:ln>
          </c:spPr>
          <c:marker>
            <c:symbol val="none"/>
          </c:marker>
          <c:cat>
            <c:numRef>
              <c:f>'Trauma 2010'!$N$6:$N$15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2010'!$R$6:$R$15</c:f>
              <c:numCache>
                <c:formatCode>0.0</c:formatCode>
                <c:ptCount val="10"/>
                <c:pt idx="0">
                  <c:v>199.60999999999999</c:v>
                </c:pt>
                <c:pt idx="1">
                  <c:v>189.52</c:v>
                </c:pt>
                <c:pt idx="2">
                  <c:v>228.87</c:v>
                </c:pt>
                <c:pt idx="3">
                  <c:v>200.94</c:v>
                </c:pt>
                <c:pt idx="4">
                  <c:v>275.85000000000002</c:v>
                </c:pt>
                <c:pt idx="5">
                  <c:v>220.48000000000027</c:v>
                </c:pt>
                <c:pt idx="6">
                  <c:v>252.58</c:v>
                </c:pt>
                <c:pt idx="7">
                  <c:v>164.20999999999998</c:v>
                </c:pt>
                <c:pt idx="8">
                  <c:v>84.1</c:v>
                </c:pt>
                <c:pt idx="9">
                  <c:v>72.760000000000005</c:v>
                </c:pt>
              </c:numCache>
            </c:numRef>
          </c:val>
        </c:ser>
        <c:marker val="1"/>
        <c:axId val="96566272"/>
        <c:axId val="96604928"/>
      </c:lineChart>
      <c:catAx>
        <c:axId val="96566272"/>
        <c:scaling>
          <c:orientation val="minMax"/>
        </c:scaling>
        <c:axPos val="b"/>
        <c:numFmt formatCode="General" sourceLinked="1"/>
        <c:tickLblPos val="nextTo"/>
        <c:crossAx val="96604928"/>
        <c:crosses val="autoZero"/>
        <c:auto val="1"/>
        <c:lblAlgn val="ctr"/>
        <c:lblOffset val="100"/>
      </c:catAx>
      <c:valAx>
        <c:axId val="96604928"/>
        <c:scaling>
          <c:orientation val="minMax"/>
          <c:min val="60"/>
        </c:scaling>
        <c:axPos val="l"/>
        <c:majorGridlines/>
        <c:title>
          <c:tx>
            <c:rich>
              <a:bodyPr rot="-5400000" vert="horz"/>
              <a:lstStyle/>
              <a:p>
                <a:pPr>
                  <a:defRPr/>
                </a:pPr>
                <a:r>
                  <a:rPr lang="en-US"/>
                  <a:t>Rodiklis 100000 gyv.</a:t>
                </a:r>
                <a:endParaRPr lang="lt-LT"/>
              </a:p>
            </c:rich>
          </c:tx>
          <c:layout>
            <c:manualLayout>
              <c:xMode val="edge"/>
              <c:yMode val="edge"/>
              <c:x val="5.3148459422488567E-2"/>
              <c:y val="0.1852894429862961"/>
            </c:manualLayout>
          </c:layout>
        </c:title>
        <c:numFmt formatCode="0" sourceLinked="0"/>
        <c:tickLblPos val="nextTo"/>
        <c:crossAx val="96566272"/>
        <c:crosses val="autoZero"/>
        <c:crossBetween val="between"/>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v>Vyrai (Lietuva)</c:v>
          </c:tx>
          <c:spPr>
            <a:ln>
              <a:solidFill>
                <a:srgbClr val="FF5050"/>
              </a:solidFill>
              <a:prstDash val="dash"/>
            </a:ln>
          </c:spPr>
          <c:marker>
            <c:symbol val="none"/>
          </c:marker>
          <c:cat>
            <c:numRef>
              <c:f>'Trauma 2010'!$X$6:$X$15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2010'!$Y$6:$Y$15</c:f>
              <c:numCache>
                <c:formatCode>0.0</c:formatCode>
                <c:ptCount val="10"/>
                <c:pt idx="0">
                  <c:v>10959.4</c:v>
                </c:pt>
                <c:pt idx="1">
                  <c:v>11501.5</c:v>
                </c:pt>
                <c:pt idx="2">
                  <c:v>12182.9</c:v>
                </c:pt>
                <c:pt idx="3">
                  <c:v>12568.4</c:v>
                </c:pt>
                <c:pt idx="4">
                  <c:v>12992.3</c:v>
                </c:pt>
                <c:pt idx="5">
                  <c:v>12515.6</c:v>
                </c:pt>
                <c:pt idx="6">
                  <c:v>12502.9</c:v>
                </c:pt>
                <c:pt idx="7">
                  <c:v>12163.4</c:v>
                </c:pt>
                <c:pt idx="8">
                  <c:v>11170.5</c:v>
                </c:pt>
                <c:pt idx="9">
                  <c:v>11047.9</c:v>
                </c:pt>
              </c:numCache>
            </c:numRef>
          </c:val>
        </c:ser>
        <c:ser>
          <c:idx val="1"/>
          <c:order val="1"/>
          <c:tx>
            <c:v>Vyrai (Vilniaus r.)</c:v>
          </c:tx>
          <c:spPr>
            <a:ln>
              <a:solidFill>
                <a:srgbClr val="FF5050"/>
              </a:solidFill>
            </a:ln>
          </c:spPr>
          <c:marker>
            <c:symbol val="none"/>
          </c:marker>
          <c:cat>
            <c:numRef>
              <c:f>'Trauma 2010'!$X$6:$X$15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2010'!$AB$6:$AB$15</c:f>
              <c:numCache>
                <c:formatCode>0.0</c:formatCode>
                <c:ptCount val="10"/>
                <c:pt idx="0">
                  <c:v>10959.9</c:v>
                </c:pt>
                <c:pt idx="1">
                  <c:v>11474.5</c:v>
                </c:pt>
                <c:pt idx="2">
                  <c:v>11948.8</c:v>
                </c:pt>
                <c:pt idx="3">
                  <c:v>12262.4</c:v>
                </c:pt>
                <c:pt idx="4">
                  <c:v>13656.4</c:v>
                </c:pt>
                <c:pt idx="5">
                  <c:v>14593.1</c:v>
                </c:pt>
                <c:pt idx="6">
                  <c:v>14645.8</c:v>
                </c:pt>
                <c:pt idx="7">
                  <c:v>14428.2</c:v>
                </c:pt>
                <c:pt idx="8">
                  <c:v>12268.4</c:v>
                </c:pt>
                <c:pt idx="9">
                  <c:v>11793.8</c:v>
                </c:pt>
              </c:numCache>
            </c:numRef>
          </c:val>
        </c:ser>
        <c:ser>
          <c:idx val="2"/>
          <c:order val="2"/>
          <c:tx>
            <c:v>Moterys (Lietuva)</c:v>
          </c:tx>
          <c:spPr>
            <a:ln>
              <a:solidFill>
                <a:schemeClr val="accent3">
                  <a:lumMod val="75000"/>
                </a:schemeClr>
              </a:solidFill>
              <a:prstDash val="dash"/>
            </a:ln>
          </c:spPr>
          <c:marker>
            <c:symbol val="none"/>
          </c:marker>
          <c:cat>
            <c:numRef>
              <c:f>'Trauma 2010'!$X$6:$X$15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2010'!$AH$6:$AH$15</c:f>
              <c:numCache>
                <c:formatCode>0.0</c:formatCode>
                <c:ptCount val="10"/>
                <c:pt idx="0">
                  <c:v>6496.21</c:v>
                </c:pt>
                <c:pt idx="1">
                  <c:v>6738.64</c:v>
                </c:pt>
                <c:pt idx="2">
                  <c:v>7060.09</c:v>
                </c:pt>
                <c:pt idx="3">
                  <c:v>7050.6100000000024</c:v>
                </c:pt>
                <c:pt idx="4">
                  <c:v>7248.9699999999993</c:v>
                </c:pt>
                <c:pt idx="5">
                  <c:v>7042.14</c:v>
                </c:pt>
                <c:pt idx="6">
                  <c:v>6805.57</c:v>
                </c:pt>
                <c:pt idx="7">
                  <c:v>6877.79</c:v>
                </c:pt>
                <c:pt idx="8">
                  <c:v>6777.55</c:v>
                </c:pt>
                <c:pt idx="9">
                  <c:v>6808.75</c:v>
                </c:pt>
              </c:numCache>
            </c:numRef>
          </c:val>
        </c:ser>
        <c:ser>
          <c:idx val="3"/>
          <c:order val="3"/>
          <c:tx>
            <c:v>Moterys (Vilniaus r.)</c:v>
          </c:tx>
          <c:spPr>
            <a:ln>
              <a:solidFill>
                <a:schemeClr val="accent3">
                  <a:lumMod val="75000"/>
                </a:schemeClr>
              </a:solidFill>
            </a:ln>
          </c:spPr>
          <c:marker>
            <c:symbol val="none"/>
          </c:marker>
          <c:cat>
            <c:numRef>
              <c:f>'Trauma 2010'!$X$6:$X$15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'Trauma 2010'!$AK$6:$AK$15</c:f>
              <c:numCache>
                <c:formatCode>0.0</c:formatCode>
                <c:ptCount val="10"/>
                <c:pt idx="0">
                  <c:v>6399.6500000000024</c:v>
                </c:pt>
                <c:pt idx="1">
                  <c:v>6491.29</c:v>
                </c:pt>
                <c:pt idx="2">
                  <c:v>6541.4</c:v>
                </c:pt>
                <c:pt idx="3">
                  <c:v>6347.75</c:v>
                </c:pt>
                <c:pt idx="4">
                  <c:v>6739.9699999999993</c:v>
                </c:pt>
                <c:pt idx="5">
                  <c:v>7016.46</c:v>
                </c:pt>
                <c:pt idx="6">
                  <c:v>6910.54</c:v>
                </c:pt>
                <c:pt idx="7">
                  <c:v>7005.92</c:v>
                </c:pt>
                <c:pt idx="8">
                  <c:v>6488.23</c:v>
                </c:pt>
                <c:pt idx="9">
                  <c:v>6060</c:v>
                </c:pt>
              </c:numCache>
            </c:numRef>
          </c:val>
        </c:ser>
        <c:marker val="1"/>
        <c:axId val="96985088"/>
        <c:axId val="96986624"/>
      </c:lineChart>
      <c:catAx>
        <c:axId val="96985088"/>
        <c:scaling>
          <c:orientation val="minMax"/>
        </c:scaling>
        <c:axPos val="b"/>
        <c:numFmt formatCode="General" sourceLinked="1"/>
        <c:tickLblPos val="nextTo"/>
        <c:crossAx val="96986624"/>
        <c:crosses val="autoZero"/>
        <c:auto val="1"/>
        <c:lblAlgn val="ctr"/>
        <c:lblOffset val="100"/>
      </c:catAx>
      <c:valAx>
        <c:axId val="96986624"/>
        <c:scaling>
          <c:orientation val="minMax"/>
          <c:min val="6000"/>
        </c:scaling>
        <c:axPos val="l"/>
        <c:majorGridlines/>
        <c:title>
          <c:tx>
            <c:rich>
              <a:bodyPr rot="-5400000" vert="horz"/>
              <a:lstStyle/>
              <a:p>
                <a:pPr>
                  <a:defRPr/>
                </a:pPr>
                <a:r>
                  <a:rPr lang="en-US"/>
                  <a:t>Rodiklis 100000 gyv.</a:t>
                </a:r>
              </a:p>
            </c:rich>
          </c:tx>
          <c:layout>
            <c:manualLayout>
              <c:xMode val="edge"/>
              <c:yMode val="edge"/>
              <c:x val="8.6274496483789764E-2"/>
              <c:y val="0.20543788818630582"/>
            </c:manualLayout>
          </c:layout>
        </c:title>
        <c:numFmt formatCode="0" sourceLinked="0"/>
        <c:tickLblPos val="nextTo"/>
        <c:crossAx val="96985088"/>
        <c:crosses val="autoZero"/>
        <c:crossBetween val="between"/>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'Kvepavimas 2010'!$L$4</c:f>
              <c:strCache>
                <c:ptCount val="1"/>
                <c:pt idx="0">
                  <c:v>Lietuva</c:v>
                </c:pt>
              </c:strCache>
            </c:strRef>
          </c:tx>
          <c:spPr>
            <a:ln>
              <a:solidFill>
                <a:schemeClr val="accent3">
                  <a:lumMod val="75000"/>
                </a:schemeClr>
              </a:solidFill>
            </a:ln>
          </c:spPr>
          <c:marker>
            <c:symbol val="none"/>
          </c:marker>
          <c:cat>
            <c:numRef>
              <c:f>'Kvepavimas 2010'!$K$5:$K$14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2010'!$L$5:$L$14</c:f>
              <c:numCache>
                <c:formatCode>General</c:formatCode>
                <c:ptCount val="10"/>
                <c:pt idx="0">
                  <c:v>25328.1</c:v>
                </c:pt>
                <c:pt idx="1">
                  <c:v>26522.3</c:v>
                </c:pt>
                <c:pt idx="2">
                  <c:v>26901.1</c:v>
                </c:pt>
                <c:pt idx="3">
                  <c:v>27712.7</c:v>
                </c:pt>
                <c:pt idx="4">
                  <c:v>28088.7</c:v>
                </c:pt>
                <c:pt idx="5">
                  <c:v>26706.3</c:v>
                </c:pt>
                <c:pt idx="6">
                  <c:v>28158.6</c:v>
                </c:pt>
                <c:pt idx="7">
                  <c:v>25352.7</c:v>
                </c:pt>
                <c:pt idx="8">
                  <c:v>26666.7</c:v>
                </c:pt>
                <c:pt idx="9">
                  <c:v>23806.7</c:v>
                </c:pt>
              </c:numCache>
            </c:numRef>
          </c:val>
        </c:ser>
        <c:ser>
          <c:idx val="1"/>
          <c:order val="1"/>
          <c:tx>
            <c:strRef>
              <c:f>'Kvepavimas 2010'!$O$4</c:f>
              <c:strCache>
                <c:ptCount val="1"/>
                <c:pt idx="0">
                  <c:v>Vilniaus r.</c:v>
                </c:pt>
              </c:strCache>
            </c:strRef>
          </c:tx>
          <c:spPr>
            <a:ln>
              <a:solidFill>
                <a:srgbClr val="FF5050"/>
              </a:solidFill>
            </a:ln>
          </c:spPr>
          <c:marker>
            <c:symbol val="none"/>
          </c:marker>
          <c:cat>
            <c:numRef>
              <c:f>'Kvepavimas 2010'!$K$5:$K$14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2010'!$O$5:$O$14</c:f>
              <c:numCache>
                <c:formatCode>General</c:formatCode>
                <c:ptCount val="10"/>
                <c:pt idx="0">
                  <c:v>23683.1</c:v>
                </c:pt>
                <c:pt idx="1">
                  <c:v>26353.3</c:v>
                </c:pt>
                <c:pt idx="2">
                  <c:v>25020.7</c:v>
                </c:pt>
                <c:pt idx="3">
                  <c:v>26546.400000000001</c:v>
                </c:pt>
                <c:pt idx="4">
                  <c:v>28357.4</c:v>
                </c:pt>
                <c:pt idx="5">
                  <c:v>26623.8</c:v>
                </c:pt>
                <c:pt idx="6">
                  <c:v>28510.7</c:v>
                </c:pt>
                <c:pt idx="7">
                  <c:v>23194.799999999996</c:v>
                </c:pt>
                <c:pt idx="8">
                  <c:v>23208.2</c:v>
                </c:pt>
                <c:pt idx="9">
                  <c:v>20606.2</c:v>
                </c:pt>
              </c:numCache>
            </c:numRef>
          </c:val>
        </c:ser>
        <c:marker val="1"/>
        <c:axId val="97004544"/>
        <c:axId val="97010432"/>
      </c:lineChart>
      <c:catAx>
        <c:axId val="97004544"/>
        <c:scaling>
          <c:orientation val="minMax"/>
        </c:scaling>
        <c:axPos val="b"/>
        <c:numFmt formatCode="General" sourceLinked="1"/>
        <c:tickLblPos val="nextTo"/>
        <c:crossAx val="97010432"/>
        <c:crosses val="autoZero"/>
        <c:auto val="1"/>
        <c:lblAlgn val="ctr"/>
        <c:lblOffset val="100"/>
      </c:catAx>
      <c:valAx>
        <c:axId val="97010432"/>
        <c:scaling>
          <c:orientation val="minMax"/>
          <c:min val="20000"/>
        </c:scaling>
        <c:axPos val="l"/>
        <c:majorGridlines/>
        <c:title>
          <c:tx>
            <c:rich>
              <a:bodyPr rot="-5400000" vert="horz"/>
              <a:lstStyle/>
              <a:p>
                <a:pPr>
                  <a:defRPr/>
                </a:pPr>
                <a:r>
                  <a:rPr lang="en-US"/>
                  <a:t>Rodiklis 100000 gyv.</a:t>
                </a:r>
                <a:endParaRPr lang="lt-LT"/>
              </a:p>
            </c:rich>
          </c:tx>
        </c:title>
        <c:numFmt formatCode="General" sourceLinked="1"/>
        <c:tickLblPos val="nextTo"/>
        <c:crossAx val="97004544"/>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v>0-17 m. (Lietuva)</c:v>
          </c:tx>
          <c:spPr>
            <a:ln>
              <a:solidFill>
                <a:srgbClr val="FF5050"/>
              </a:solidFill>
              <a:prstDash val="dash"/>
            </a:ln>
          </c:spPr>
          <c:marker>
            <c:symbol val="none"/>
          </c:marker>
          <c:cat>
            <c:numRef>
              <c:f>'Kvepavimas 2010'!$V$5:$V$14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2010'!$W$5:$W$14</c:f>
              <c:numCache>
                <c:formatCode>General</c:formatCode>
                <c:ptCount val="10"/>
                <c:pt idx="0">
                  <c:v>50436.7</c:v>
                </c:pt>
                <c:pt idx="1">
                  <c:v>55129.8</c:v>
                </c:pt>
                <c:pt idx="2">
                  <c:v>55626</c:v>
                </c:pt>
                <c:pt idx="3">
                  <c:v>57273.8</c:v>
                </c:pt>
                <c:pt idx="4">
                  <c:v>56824.6</c:v>
                </c:pt>
                <c:pt idx="5">
                  <c:v>56676.9</c:v>
                </c:pt>
                <c:pt idx="6">
                  <c:v>55538.2</c:v>
                </c:pt>
                <c:pt idx="7">
                  <c:v>51522.1</c:v>
                </c:pt>
                <c:pt idx="8">
                  <c:v>56776.3</c:v>
                </c:pt>
                <c:pt idx="9">
                  <c:v>52770.6</c:v>
                </c:pt>
              </c:numCache>
            </c:numRef>
          </c:val>
        </c:ser>
        <c:ser>
          <c:idx val="1"/>
          <c:order val="1"/>
          <c:tx>
            <c:v>0-17 m. (Vilniaus r.)</c:v>
          </c:tx>
          <c:spPr>
            <a:ln>
              <a:solidFill>
                <a:srgbClr val="FF5050"/>
              </a:solidFill>
            </a:ln>
          </c:spPr>
          <c:marker>
            <c:symbol val="none"/>
          </c:marker>
          <c:cat>
            <c:numRef>
              <c:f>'Kvepavimas 2010'!$V$5:$V$14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2010'!$Z$5:$Z$14</c:f>
              <c:numCache>
                <c:formatCode>General</c:formatCode>
                <c:ptCount val="10"/>
                <c:pt idx="0">
                  <c:v>45231.199999999997</c:v>
                </c:pt>
                <c:pt idx="1">
                  <c:v>51534.7</c:v>
                </c:pt>
                <c:pt idx="2">
                  <c:v>47521.5</c:v>
                </c:pt>
                <c:pt idx="3">
                  <c:v>51727.4</c:v>
                </c:pt>
                <c:pt idx="4">
                  <c:v>53723.7</c:v>
                </c:pt>
                <c:pt idx="5">
                  <c:v>52907.1</c:v>
                </c:pt>
                <c:pt idx="6">
                  <c:v>52579.7</c:v>
                </c:pt>
                <c:pt idx="7">
                  <c:v>43241.3</c:v>
                </c:pt>
                <c:pt idx="8">
                  <c:v>48071.3</c:v>
                </c:pt>
                <c:pt idx="9">
                  <c:v>45397.7</c:v>
                </c:pt>
              </c:numCache>
            </c:numRef>
          </c:val>
        </c:ser>
        <c:ser>
          <c:idx val="2"/>
          <c:order val="2"/>
          <c:tx>
            <c:v>18+ m. (Lietuva)</c:v>
          </c:tx>
          <c:spPr>
            <a:ln>
              <a:solidFill>
                <a:srgbClr val="9BBB59">
                  <a:lumMod val="75000"/>
                </a:srgbClr>
              </a:solidFill>
              <a:prstDash val="dash"/>
            </a:ln>
          </c:spPr>
          <c:marker>
            <c:symbol val="none"/>
          </c:marker>
          <c:cat>
            <c:numRef>
              <c:f>'Kvepavimas 2010'!$V$5:$V$14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2010'!$AF$5:$AF$14</c:f>
              <c:numCache>
                <c:formatCode>General</c:formatCode>
                <c:ptCount val="10"/>
                <c:pt idx="0">
                  <c:v>17347.099999999897</c:v>
                </c:pt>
                <c:pt idx="1">
                  <c:v>17736</c:v>
                </c:pt>
                <c:pt idx="2">
                  <c:v>18401</c:v>
                </c:pt>
                <c:pt idx="3">
                  <c:v>19305.400000000001</c:v>
                </c:pt>
                <c:pt idx="4">
                  <c:v>20239.400000000001</c:v>
                </c:pt>
                <c:pt idx="5">
                  <c:v>18818.5</c:v>
                </c:pt>
                <c:pt idx="6">
                  <c:v>21192</c:v>
                </c:pt>
                <c:pt idx="7">
                  <c:v>18905.2</c:v>
                </c:pt>
                <c:pt idx="8">
                  <c:v>19460.599999999897</c:v>
                </c:pt>
                <c:pt idx="9">
                  <c:v>17027.599999999897</c:v>
                </c:pt>
              </c:numCache>
            </c:numRef>
          </c:val>
        </c:ser>
        <c:ser>
          <c:idx val="3"/>
          <c:order val="3"/>
          <c:tx>
            <c:v>18+ m. (Vilniaus r.)</c:v>
          </c:tx>
          <c:spPr>
            <a:ln>
              <a:solidFill>
                <a:schemeClr val="accent3">
                  <a:lumMod val="75000"/>
                </a:schemeClr>
              </a:solidFill>
            </a:ln>
          </c:spPr>
          <c:marker>
            <c:symbol val="none"/>
          </c:marker>
          <c:cat>
            <c:numRef>
              <c:f>'Kvepavimas 2010'!$V$5:$V$14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2010'!$AI$5:$AI$14</c:f>
              <c:numCache>
                <c:formatCode>General</c:formatCode>
                <c:ptCount val="10"/>
                <c:pt idx="0">
                  <c:v>16495.400000000001</c:v>
                </c:pt>
                <c:pt idx="1">
                  <c:v>18193.599999999897</c:v>
                </c:pt>
                <c:pt idx="2">
                  <c:v>18011.8</c:v>
                </c:pt>
                <c:pt idx="3">
                  <c:v>19075.099999999897</c:v>
                </c:pt>
                <c:pt idx="4">
                  <c:v>21154</c:v>
                </c:pt>
                <c:pt idx="5">
                  <c:v>19425.099999999897</c:v>
                </c:pt>
                <c:pt idx="6">
                  <c:v>22109.200000000001</c:v>
                </c:pt>
                <c:pt idx="7">
                  <c:v>18004.5</c:v>
                </c:pt>
                <c:pt idx="8">
                  <c:v>16889.8</c:v>
                </c:pt>
                <c:pt idx="9">
                  <c:v>14371.2</c:v>
                </c:pt>
              </c:numCache>
            </c:numRef>
          </c:val>
        </c:ser>
        <c:marker val="1"/>
        <c:axId val="97054720"/>
        <c:axId val="97056256"/>
      </c:lineChart>
      <c:catAx>
        <c:axId val="97054720"/>
        <c:scaling>
          <c:orientation val="minMax"/>
        </c:scaling>
        <c:axPos val="b"/>
        <c:numFmt formatCode="General" sourceLinked="1"/>
        <c:tickLblPos val="nextTo"/>
        <c:crossAx val="97056256"/>
        <c:crosses val="autoZero"/>
        <c:auto val="1"/>
        <c:lblAlgn val="ctr"/>
        <c:lblOffset val="100"/>
      </c:catAx>
      <c:valAx>
        <c:axId val="97056256"/>
        <c:scaling>
          <c:orientation val="minMax"/>
        </c:scaling>
        <c:axPos val="l"/>
        <c:majorGridlines/>
        <c:title>
          <c:tx>
            <c:rich>
              <a:bodyPr rot="-5400000" vert="horz"/>
              <a:lstStyle/>
              <a:p>
                <a:pPr>
                  <a:defRPr/>
                </a:pPr>
                <a:r>
                  <a:rPr lang="en-US"/>
                  <a:t>Rodiklis 100000 gyv.</a:t>
                </a:r>
                <a:endParaRPr lang="lt-LT"/>
              </a:p>
            </c:rich>
          </c:tx>
          <c:layout>
            <c:manualLayout>
              <c:xMode val="edge"/>
              <c:yMode val="edge"/>
              <c:x val="5.5045871559633031E-2"/>
              <c:y val="0.17693099837930248"/>
            </c:manualLayout>
          </c:layout>
        </c:title>
        <c:numFmt formatCode="General" sourceLinked="1"/>
        <c:tickLblPos val="nextTo"/>
        <c:crossAx val="9705472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v>GIMSTAMUMAS (Vilniaus r.)</c:v>
          </c:tx>
          <c:spPr>
            <a:ln>
              <a:solidFill>
                <a:schemeClr val="accent3">
                  <a:lumMod val="75000"/>
                </a:schemeClr>
              </a:solidFill>
            </a:ln>
          </c:spPr>
          <c:marker>
            <c:symbol val="none"/>
          </c:marker>
          <c:cat>
            <c:numRef>
              <c:f>'2010'!$AB$8:$AB$17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'2010'!$AD$8:$AD$17</c:f>
              <c:numCache>
                <c:formatCode>General</c:formatCode>
                <c:ptCount val="10"/>
                <c:pt idx="0">
                  <c:v>10.200000000000001</c:v>
                </c:pt>
                <c:pt idx="1">
                  <c:v>9.1</c:v>
                </c:pt>
                <c:pt idx="2">
                  <c:v>8.6</c:v>
                </c:pt>
                <c:pt idx="3">
                  <c:v>10</c:v>
                </c:pt>
                <c:pt idx="4">
                  <c:v>10.4</c:v>
                </c:pt>
                <c:pt idx="5">
                  <c:v>10.4</c:v>
                </c:pt>
                <c:pt idx="6">
                  <c:v>11.1</c:v>
                </c:pt>
                <c:pt idx="7">
                  <c:v>11.5</c:v>
                </c:pt>
                <c:pt idx="8">
                  <c:v>12.7</c:v>
                </c:pt>
                <c:pt idx="9">
                  <c:v>12.1</c:v>
                </c:pt>
              </c:numCache>
            </c:numRef>
          </c:val>
        </c:ser>
        <c:ser>
          <c:idx val="1"/>
          <c:order val="1"/>
          <c:tx>
            <c:v>GIMSTAMUMAS (Lietuva)</c:v>
          </c:tx>
          <c:spPr>
            <a:ln>
              <a:solidFill>
                <a:schemeClr val="accent3">
                  <a:lumMod val="75000"/>
                </a:schemeClr>
              </a:solidFill>
              <a:prstDash val="dash"/>
            </a:ln>
          </c:spPr>
          <c:marker>
            <c:symbol val="none"/>
          </c:marker>
          <c:cat>
            <c:numRef>
              <c:f>'2010'!$AB$8:$AB$17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'2010'!$AH$8:$AH$17</c:f>
              <c:numCache>
                <c:formatCode>General</c:formatCode>
                <c:ptCount val="10"/>
                <c:pt idx="0">
                  <c:v>9.1</c:v>
                </c:pt>
                <c:pt idx="1">
                  <c:v>8.6</c:v>
                </c:pt>
                <c:pt idx="2">
                  <c:v>8.9</c:v>
                </c:pt>
                <c:pt idx="3">
                  <c:v>8.8000000000000007</c:v>
                </c:pt>
                <c:pt idx="4">
                  <c:v>8.94</c:v>
                </c:pt>
                <c:pt idx="5">
                  <c:v>9.2000000000000011</c:v>
                </c:pt>
                <c:pt idx="6">
                  <c:v>9.6</c:v>
                </c:pt>
                <c:pt idx="7">
                  <c:v>10.5</c:v>
                </c:pt>
                <c:pt idx="8">
                  <c:v>11</c:v>
                </c:pt>
                <c:pt idx="9">
                  <c:v>10.8</c:v>
                </c:pt>
              </c:numCache>
            </c:numRef>
          </c:val>
        </c:ser>
        <c:ser>
          <c:idx val="2"/>
          <c:order val="2"/>
          <c:tx>
            <c:v>MIRTINGUMAS (Vilniaus r.)</c:v>
          </c:tx>
          <c:spPr>
            <a:ln>
              <a:solidFill>
                <a:srgbClr val="FF5050"/>
              </a:solidFill>
            </a:ln>
          </c:spPr>
          <c:marker>
            <c:symbol val="none"/>
          </c:marker>
          <c:cat>
            <c:numRef>
              <c:f>'2010'!$AB$8:$AB$17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'2010'!$AS$8:$AS$17</c:f>
              <c:numCache>
                <c:formatCode>General</c:formatCode>
                <c:ptCount val="10"/>
                <c:pt idx="0">
                  <c:v>14</c:v>
                </c:pt>
                <c:pt idx="1">
                  <c:v>12.5</c:v>
                </c:pt>
                <c:pt idx="2">
                  <c:v>11.8</c:v>
                </c:pt>
                <c:pt idx="3">
                  <c:v>12.6</c:v>
                </c:pt>
                <c:pt idx="4">
                  <c:v>13.3</c:v>
                </c:pt>
                <c:pt idx="5">
                  <c:v>14.1</c:v>
                </c:pt>
                <c:pt idx="6">
                  <c:v>13.8</c:v>
                </c:pt>
                <c:pt idx="7">
                  <c:v>14.4</c:v>
                </c:pt>
                <c:pt idx="8">
                  <c:v>12.5</c:v>
                </c:pt>
                <c:pt idx="9">
                  <c:v>12.2</c:v>
                </c:pt>
              </c:numCache>
            </c:numRef>
          </c:val>
        </c:ser>
        <c:ser>
          <c:idx val="3"/>
          <c:order val="3"/>
          <c:tx>
            <c:v>MIRTINGUMAS (Lietuva)</c:v>
          </c:tx>
          <c:spPr>
            <a:ln>
              <a:solidFill>
                <a:srgbClr val="FF5050"/>
              </a:solidFill>
              <a:prstDash val="dash"/>
            </a:ln>
          </c:spPr>
          <c:marker>
            <c:symbol val="none"/>
          </c:marker>
          <c:cat>
            <c:numRef>
              <c:f>'2010'!$AB$8:$AB$17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'2010'!$AW$8:$AW$17</c:f>
              <c:numCache>
                <c:formatCode>General</c:formatCode>
                <c:ptCount val="10"/>
                <c:pt idx="0">
                  <c:v>11.6</c:v>
                </c:pt>
                <c:pt idx="1">
                  <c:v>11.8</c:v>
                </c:pt>
                <c:pt idx="2">
                  <c:v>11.9</c:v>
                </c:pt>
                <c:pt idx="3">
                  <c:v>12</c:v>
                </c:pt>
                <c:pt idx="4">
                  <c:v>12.8</c:v>
                </c:pt>
                <c:pt idx="5">
                  <c:v>13.2</c:v>
                </c:pt>
                <c:pt idx="6">
                  <c:v>13.5</c:v>
                </c:pt>
                <c:pt idx="7">
                  <c:v>13.1</c:v>
                </c:pt>
                <c:pt idx="8">
                  <c:v>12.6</c:v>
                </c:pt>
                <c:pt idx="9">
                  <c:v>12.8</c:v>
                </c:pt>
              </c:numCache>
            </c:numRef>
          </c:val>
        </c:ser>
        <c:marker val="1"/>
        <c:axId val="97693696"/>
        <c:axId val="97695232"/>
      </c:lineChart>
      <c:catAx>
        <c:axId val="97693696"/>
        <c:scaling>
          <c:orientation val="minMax"/>
        </c:scaling>
        <c:axPos val="b"/>
        <c:numFmt formatCode="General" sourceLinked="1"/>
        <c:tickLblPos val="nextTo"/>
        <c:txPr>
          <a:bodyPr/>
          <a:lstStyle/>
          <a:p>
            <a:pPr>
              <a:defRPr lang="en-US"/>
            </a:pPr>
            <a:endParaRPr lang="lt-LT"/>
          </a:p>
        </c:txPr>
        <c:crossAx val="97695232"/>
        <c:crosses val="autoZero"/>
        <c:auto val="1"/>
        <c:lblAlgn val="ctr"/>
        <c:lblOffset val="100"/>
      </c:catAx>
      <c:valAx>
        <c:axId val="97695232"/>
        <c:scaling>
          <c:orientation val="minMax"/>
          <c:min val="8"/>
        </c:scaling>
        <c:axPos val="l"/>
        <c:majorGridlines/>
        <c:numFmt formatCode="General" sourceLinked="1"/>
        <c:tickLblPos val="nextTo"/>
        <c:txPr>
          <a:bodyPr/>
          <a:lstStyle/>
          <a:p>
            <a:pPr>
              <a:defRPr lang="en-US"/>
            </a:pPr>
            <a:endParaRPr lang="lt-LT"/>
          </a:p>
        </c:txPr>
        <c:crossAx val="97693696"/>
        <c:crosses val="autoZero"/>
        <c:crossBetween val="between"/>
      </c:valAx>
      <c:dTable>
        <c:showHorzBorder val="1"/>
        <c:showVertBorder val="1"/>
        <c:showOutline val="1"/>
        <c:showKeys val="1"/>
        <c:txPr>
          <a:bodyPr/>
          <a:lstStyle/>
          <a:p>
            <a:pPr rtl="0">
              <a:defRPr lang="en-US"/>
            </a:pPr>
            <a:endParaRPr lang="lt-LT"/>
          </a:p>
        </c:txPr>
      </c:dTable>
    </c:plotArea>
    <c:plotVisOnly val="1"/>
    <c:dispBlanksAs val="gap"/>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v>0-17 m. (Lietuva)</c:v>
          </c:tx>
          <c:spPr>
            <a:ln>
              <a:solidFill>
                <a:srgbClr val="FF5050"/>
              </a:solidFill>
              <a:prstDash val="dash"/>
            </a:ln>
          </c:spPr>
          <c:marker>
            <c:symbol val="none"/>
          </c:marker>
          <c:cat>
            <c:numRef>
              <c:f>'Kvepavimas 2010'!$DK$5:$DK$14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2010'!$DL$5:$DL$14</c:f>
              <c:numCache>
                <c:formatCode>General</c:formatCode>
                <c:ptCount val="10"/>
                <c:pt idx="0">
                  <c:v>976.94999999999948</c:v>
                </c:pt>
                <c:pt idx="1">
                  <c:v>1269.6299999999999</c:v>
                </c:pt>
                <c:pt idx="2">
                  <c:v>1446.22</c:v>
                </c:pt>
                <c:pt idx="3">
                  <c:v>1663.26</c:v>
                </c:pt>
                <c:pt idx="4">
                  <c:v>1792.6799999999998</c:v>
                </c:pt>
                <c:pt idx="5">
                  <c:v>2003.96</c:v>
                </c:pt>
                <c:pt idx="6">
                  <c:v>2313.73</c:v>
                </c:pt>
                <c:pt idx="7">
                  <c:v>2590.36</c:v>
                </c:pt>
                <c:pt idx="8">
                  <c:v>2783.8500000000022</c:v>
                </c:pt>
                <c:pt idx="9">
                  <c:v>3088.11</c:v>
                </c:pt>
              </c:numCache>
            </c:numRef>
          </c:val>
        </c:ser>
        <c:ser>
          <c:idx val="1"/>
          <c:order val="1"/>
          <c:tx>
            <c:v>0-17 m. (Vilniaus r.)</c:v>
          </c:tx>
          <c:spPr>
            <a:ln>
              <a:solidFill>
                <a:srgbClr val="FF5050"/>
              </a:solidFill>
            </a:ln>
          </c:spPr>
          <c:marker>
            <c:symbol val="none"/>
          </c:marker>
          <c:cat>
            <c:numRef>
              <c:f>'Kvepavimas 2010'!$BQ$5:$BQ$14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2010'!$DO$5:$DO$14</c:f>
              <c:numCache>
                <c:formatCode>General</c:formatCode>
                <c:ptCount val="10"/>
                <c:pt idx="0">
                  <c:v>653.57000000000005</c:v>
                </c:pt>
                <c:pt idx="1">
                  <c:v>723.83999999999946</c:v>
                </c:pt>
                <c:pt idx="2">
                  <c:v>842.44999999999948</c:v>
                </c:pt>
                <c:pt idx="3">
                  <c:v>901.67000000000053</c:v>
                </c:pt>
                <c:pt idx="4">
                  <c:v>1081.95</c:v>
                </c:pt>
                <c:pt idx="5">
                  <c:v>1416.4</c:v>
                </c:pt>
                <c:pt idx="6">
                  <c:v>1589.06</c:v>
                </c:pt>
                <c:pt idx="7">
                  <c:v>1642.01</c:v>
                </c:pt>
                <c:pt idx="8">
                  <c:v>1495.83</c:v>
                </c:pt>
                <c:pt idx="9">
                  <c:v>1747.85</c:v>
                </c:pt>
              </c:numCache>
            </c:numRef>
          </c:val>
        </c:ser>
        <c:ser>
          <c:idx val="2"/>
          <c:order val="2"/>
          <c:tx>
            <c:v>18+ m. (Lietuva)</c:v>
          </c:tx>
          <c:spPr>
            <a:ln>
              <a:solidFill>
                <a:schemeClr val="accent3">
                  <a:lumMod val="75000"/>
                </a:schemeClr>
              </a:solidFill>
              <a:prstDash val="dash"/>
            </a:ln>
          </c:spPr>
          <c:marker>
            <c:symbol val="none"/>
          </c:marker>
          <c:cat>
            <c:numRef>
              <c:f>'Kvepavimas 2010'!$BQ$5:$BQ$14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2010'!$CJ$5:$CJ$14</c:f>
              <c:numCache>
                <c:formatCode>General</c:formatCode>
                <c:ptCount val="10"/>
                <c:pt idx="0">
                  <c:v>605.91</c:v>
                </c:pt>
                <c:pt idx="1">
                  <c:v>640.92999999999938</c:v>
                </c:pt>
                <c:pt idx="2">
                  <c:v>710.91</c:v>
                </c:pt>
                <c:pt idx="3">
                  <c:v>781.94999999999948</c:v>
                </c:pt>
                <c:pt idx="4">
                  <c:v>844.71</c:v>
                </c:pt>
                <c:pt idx="5">
                  <c:v>888.6</c:v>
                </c:pt>
                <c:pt idx="6">
                  <c:v>948.19</c:v>
                </c:pt>
                <c:pt idx="7">
                  <c:v>1001</c:v>
                </c:pt>
                <c:pt idx="8">
                  <c:v>1039.32</c:v>
                </c:pt>
                <c:pt idx="9">
                  <c:v>1107.04</c:v>
                </c:pt>
              </c:numCache>
            </c:numRef>
          </c:val>
        </c:ser>
        <c:ser>
          <c:idx val="3"/>
          <c:order val="3"/>
          <c:tx>
            <c:v>18+ m. (Vilniaus r.)</c:v>
          </c:tx>
          <c:spPr>
            <a:ln>
              <a:solidFill>
                <a:srgbClr val="9BBB59">
                  <a:lumMod val="75000"/>
                </a:srgbClr>
              </a:solidFill>
            </a:ln>
          </c:spPr>
          <c:marker>
            <c:symbol val="none"/>
          </c:marker>
          <c:cat>
            <c:numRef>
              <c:f>'Kvepavimas 2010'!$BQ$5:$BQ$14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'Kvepavimas 2010'!$CM$5:$CM$14</c:f>
              <c:numCache>
                <c:formatCode>General</c:formatCode>
                <c:ptCount val="10"/>
                <c:pt idx="0">
                  <c:v>449.77</c:v>
                </c:pt>
                <c:pt idx="1">
                  <c:v>433.64000000000038</c:v>
                </c:pt>
                <c:pt idx="2">
                  <c:v>485.82</c:v>
                </c:pt>
                <c:pt idx="3">
                  <c:v>474.72999999999894</c:v>
                </c:pt>
                <c:pt idx="4">
                  <c:v>515.51</c:v>
                </c:pt>
                <c:pt idx="5">
                  <c:v>548.29000000000053</c:v>
                </c:pt>
                <c:pt idx="6">
                  <c:v>556.67999999999995</c:v>
                </c:pt>
                <c:pt idx="7">
                  <c:v>582.11</c:v>
                </c:pt>
                <c:pt idx="8">
                  <c:v>625.11</c:v>
                </c:pt>
                <c:pt idx="9">
                  <c:v>564.65</c:v>
                </c:pt>
              </c:numCache>
            </c:numRef>
          </c:val>
        </c:ser>
        <c:marker val="1"/>
        <c:axId val="97104640"/>
        <c:axId val="97106176"/>
      </c:lineChart>
      <c:catAx>
        <c:axId val="97104640"/>
        <c:scaling>
          <c:orientation val="minMax"/>
        </c:scaling>
        <c:axPos val="b"/>
        <c:numFmt formatCode="General" sourceLinked="1"/>
        <c:tickLblPos val="nextTo"/>
        <c:crossAx val="97106176"/>
        <c:crosses val="autoZero"/>
        <c:auto val="1"/>
        <c:lblAlgn val="ctr"/>
        <c:lblOffset val="100"/>
      </c:catAx>
      <c:valAx>
        <c:axId val="97106176"/>
        <c:scaling>
          <c:orientation val="minMax"/>
        </c:scaling>
        <c:axPos val="l"/>
        <c:majorGridlines/>
        <c:title>
          <c:tx>
            <c:rich>
              <a:bodyPr rot="-5400000" vert="horz"/>
              <a:lstStyle/>
              <a:p>
                <a:pPr>
                  <a:defRPr/>
                </a:pPr>
                <a:r>
                  <a:rPr lang="lt-LT"/>
                  <a:t>Rodiklis </a:t>
                </a:r>
                <a:r>
                  <a:rPr lang="en-US"/>
                  <a:t>100000 gyv.</a:t>
                </a:r>
                <a:endParaRPr lang="lt-LT"/>
              </a:p>
            </c:rich>
          </c:tx>
          <c:layout>
            <c:manualLayout>
              <c:xMode val="edge"/>
              <c:yMode val="edge"/>
              <c:x val="7.0291048874244907E-2"/>
              <c:y val="0.21850423594545143"/>
            </c:manualLayout>
          </c:layout>
        </c:title>
        <c:numFmt formatCode="General" sourceLinked="1"/>
        <c:tickLblPos val="nextTo"/>
        <c:crossAx val="9710464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'infekcines ir parazitines ligo'!$C$3</c:f>
              <c:strCache>
                <c:ptCount val="1"/>
                <c:pt idx="0">
                  <c:v>Vilniaus r.</c:v>
                </c:pt>
              </c:strCache>
            </c:strRef>
          </c:tx>
          <c:marker>
            <c:symbol val="none"/>
          </c:marker>
          <c:cat>
            <c:numRef>
              <c:f>'infekcines ir parazitines ligo'!$B$4:$B$13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ligo'!$C$4:$C$13</c:f>
              <c:numCache>
                <c:formatCode>General</c:formatCode>
                <c:ptCount val="10"/>
                <c:pt idx="0">
                  <c:v>42.1</c:v>
                </c:pt>
                <c:pt idx="1">
                  <c:v>41.1</c:v>
                </c:pt>
                <c:pt idx="2">
                  <c:v>37.5</c:v>
                </c:pt>
                <c:pt idx="3">
                  <c:v>42.1</c:v>
                </c:pt>
                <c:pt idx="4">
                  <c:v>40.4</c:v>
                </c:pt>
                <c:pt idx="5">
                  <c:v>41.7</c:v>
                </c:pt>
                <c:pt idx="6">
                  <c:v>40.5</c:v>
                </c:pt>
                <c:pt idx="7">
                  <c:v>39.6</c:v>
                </c:pt>
                <c:pt idx="8">
                  <c:v>35.800000000000004</c:v>
                </c:pt>
                <c:pt idx="9">
                  <c:v>36.1</c:v>
                </c:pt>
              </c:numCache>
            </c:numRef>
          </c:val>
        </c:ser>
        <c:ser>
          <c:idx val="1"/>
          <c:order val="1"/>
          <c:tx>
            <c:strRef>
              <c:f>'infekcines ir parazitines ligo'!$D$3</c:f>
              <c:strCache>
                <c:ptCount val="1"/>
                <c:pt idx="0">
                  <c:v>Vilniaus apskr.</c:v>
                </c:pt>
              </c:strCache>
            </c:strRef>
          </c:tx>
          <c:marker>
            <c:symbol val="none"/>
          </c:marker>
          <c:cat>
            <c:numRef>
              <c:f>'infekcines ir parazitines ligo'!$B$4:$B$13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ligo'!$D$4:$D$13</c:f>
              <c:numCache>
                <c:formatCode>General</c:formatCode>
                <c:ptCount val="10"/>
                <c:pt idx="0">
                  <c:v>53.9</c:v>
                </c:pt>
                <c:pt idx="1">
                  <c:v>48.8</c:v>
                </c:pt>
                <c:pt idx="2">
                  <c:v>51.1</c:v>
                </c:pt>
                <c:pt idx="3">
                  <c:v>51.8</c:v>
                </c:pt>
                <c:pt idx="4">
                  <c:v>48.4</c:v>
                </c:pt>
                <c:pt idx="5">
                  <c:v>50.6</c:v>
                </c:pt>
                <c:pt idx="6">
                  <c:v>45.3</c:v>
                </c:pt>
                <c:pt idx="7">
                  <c:v>47.6</c:v>
                </c:pt>
                <c:pt idx="8">
                  <c:v>46.5</c:v>
                </c:pt>
                <c:pt idx="9">
                  <c:v>48.6</c:v>
                </c:pt>
              </c:numCache>
            </c:numRef>
          </c:val>
        </c:ser>
        <c:ser>
          <c:idx val="2"/>
          <c:order val="2"/>
          <c:tx>
            <c:strRef>
              <c:f>'infekcines ir parazitines ligo'!$E$3</c:f>
              <c:strCache>
                <c:ptCount val="1"/>
                <c:pt idx="0">
                  <c:v>Lietuva</c:v>
                </c:pt>
              </c:strCache>
            </c:strRef>
          </c:tx>
          <c:marker>
            <c:symbol val="none"/>
          </c:marker>
          <c:cat>
            <c:numRef>
              <c:f>'infekcines ir parazitines ligo'!$B$4:$B$13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ligo'!$E$4:$E$13</c:f>
              <c:numCache>
                <c:formatCode>General</c:formatCode>
                <c:ptCount val="10"/>
                <c:pt idx="0">
                  <c:v>46.7</c:v>
                </c:pt>
                <c:pt idx="1">
                  <c:v>42.9</c:v>
                </c:pt>
                <c:pt idx="2">
                  <c:v>43.2</c:v>
                </c:pt>
                <c:pt idx="3">
                  <c:v>43.6</c:v>
                </c:pt>
                <c:pt idx="4">
                  <c:v>41.9</c:v>
                </c:pt>
                <c:pt idx="5">
                  <c:v>42.5</c:v>
                </c:pt>
                <c:pt idx="6">
                  <c:v>39.800000000000004</c:v>
                </c:pt>
                <c:pt idx="7">
                  <c:v>38.5</c:v>
                </c:pt>
                <c:pt idx="8">
                  <c:v>37.9</c:v>
                </c:pt>
                <c:pt idx="9">
                  <c:v>37.6</c:v>
                </c:pt>
              </c:numCache>
            </c:numRef>
          </c:val>
        </c:ser>
        <c:marker val="1"/>
        <c:axId val="97203328"/>
        <c:axId val="97204864"/>
      </c:lineChart>
      <c:catAx>
        <c:axId val="97203328"/>
        <c:scaling>
          <c:orientation val="minMax"/>
        </c:scaling>
        <c:axPos val="b"/>
        <c:numFmt formatCode="General" sourceLinked="1"/>
        <c:tickLblPos val="nextTo"/>
        <c:crossAx val="97204864"/>
        <c:crosses val="autoZero"/>
        <c:auto val="1"/>
        <c:lblAlgn val="ctr"/>
        <c:lblOffset val="100"/>
      </c:catAx>
      <c:valAx>
        <c:axId val="97204864"/>
        <c:scaling>
          <c:orientation val="minMax"/>
          <c:max val="55"/>
          <c:min val="35"/>
        </c:scaling>
        <c:axPos val="l"/>
        <c:majorGridlines/>
        <c:title>
          <c:tx>
            <c:rich>
              <a:bodyPr rot="-5400000" vert="horz"/>
              <a:lstStyle/>
              <a:p>
                <a:pPr>
                  <a:defRPr b="0"/>
                </a:pPr>
                <a:r>
                  <a:rPr lang="lt-LT" b="0"/>
                  <a:t>Rodiklis 1000 gyventojų</a:t>
                </a:r>
              </a:p>
            </c:rich>
          </c:tx>
          <c:layout>
            <c:manualLayout>
              <c:xMode val="edge"/>
              <c:yMode val="edge"/>
              <c:x val="7.0833333333333942E-2"/>
              <c:y val="0.21530556591289599"/>
            </c:manualLayout>
          </c:layout>
        </c:title>
        <c:numFmt formatCode="General" sourceLinked="1"/>
        <c:tickLblPos val="nextTo"/>
        <c:crossAx val="97203328"/>
        <c:crosses val="autoZero"/>
        <c:crossBetween val="between"/>
      </c:valAx>
      <c:dTable>
        <c:showHorzBorder val="1"/>
        <c:showVertBorder val="1"/>
        <c:showOutline val="1"/>
        <c:showKeys val="1"/>
        <c:txPr>
          <a:bodyPr/>
          <a:lstStyle/>
          <a:p>
            <a:pPr rtl="0">
              <a:defRPr sz="800"/>
            </a:pPr>
            <a:endParaRPr lang="lt-LT"/>
          </a:p>
        </c:txPr>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'infekcines ir parazitines ligo'!$N$3</c:f>
              <c:strCache>
                <c:ptCount val="1"/>
                <c:pt idx="0">
                  <c:v>Vilniaus r.</c:v>
                </c:pt>
              </c:strCache>
            </c:strRef>
          </c:tx>
          <c:marker>
            <c:symbol val="none"/>
          </c:marker>
          <c:cat>
            <c:numRef>
              <c:f>'infekcines ir parazitines ligo'!$M$4:$M$13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ligo'!$N$4:$N$13</c:f>
              <c:numCache>
                <c:formatCode>General</c:formatCode>
                <c:ptCount val="10"/>
                <c:pt idx="0">
                  <c:v>250.2</c:v>
                </c:pt>
                <c:pt idx="1">
                  <c:v>287.39999999999969</c:v>
                </c:pt>
                <c:pt idx="2">
                  <c:v>270.39999999999969</c:v>
                </c:pt>
                <c:pt idx="3">
                  <c:v>289.5</c:v>
                </c:pt>
                <c:pt idx="4">
                  <c:v>307.60000000000002</c:v>
                </c:pt>
                <c:pt idx="5">
                  <c:v>285.7</c:v>
                </c:pt>
                <c:pt idx="6">
                  <c:v>303.60000000000002</c:v>
                </c:pt>
                <c:pt idx="7">
                  <c:v>226.4</c:v>
                </c:pt>
                <c:pt idx="8">
                  <c:v>237.9</c:v>
                </c:pt>
                <c:pt idx="9">
                  <c:v>207.9</c:v>
                </c:pt>
              </c:numCache>
            </c:numRef>
          </c:val>
        </c:ser>
        <c:ser>
          <c:idx val="1"/>
          <c:order val="1"/>
          <c:tx>
            <c:strRef>
              <c:f>'infekcines ir parazitines ligo'!$O$3</c:f>
              <c:strCache>
                <c:ptCount val="1"/>
                <c:pt idx="0">
                  <c:v>Vilniaus apskr.</c:v>
                </c:pt>
              </c:strCache>
            </c:strRef>
          </c:tx>
          <c:marker>
            <c:symbol val="none"/>
          </c:marker>
          <c:cat>
            <c:numRef>
              <c:f>'infekcines ir parazitines ligo'!$M$4:$M$13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ligo'!$O$4:$O$13</c:f>
              <c:numCache>
                <c:formatCode>General</c:formatCode>
                <c:ptCount val="10"/>
                <c:pt idx="0">
                  <c:v>294.8</c:v>
                </c:pt>
                <c:pt idx="1">
                  <c:v>325.7</c:v>
                </c:pt>
                <c:pt idx="2">
                  <c:v>324.7</c:v>
                </c:pt>
                <c:pt idx="3">
                  <c:v>337.8</c:v>
                </c:pt>
                <c:pt idx="4">
                  <c:v>336.6</c:v>
                </c:pt>
                <c:pt idx="5">
                  <c:v>306.60000000000002</c:v>
                </c:pt>
                <c:pt idx="6">
                  <c:v>319.89999999999969</c:v>
                </c:pt>
                <c:pt idx="7">
                  <c:v>260.5</c:v>
                </c:pt>
                <c:pt idx="8">
                  <c:v>287.7</c:v>
                </c:pt>
                <c:pt idx="9">
                  <c:v>250.3</c:v>
                </c:pt>
              </c:numCache>
            </c:numRef>
          </c:val>
        </c:ser>
        <c:ser>
          <c:idx val="2"/>
          <c:order val="2"/>
          <c:tx>
            <c:strRef>
              <c:f>'infekcines ir parazitines ligo'!$P$3</c:f>
              <c:strCache>
                <c:ptCount val="1"/>
                <c:pt idx="0">
                  <c:v>Lietuva</c:v>
                </c:pt>
              </c:strCache>
            </c:strRef>
          </c:tx>
          <c:marker>
            <c:symbol val="none"/>
          </c:marker>
          <c:cat>
            <c:numRef>
              <c:f>'infekcines ir parazitines ligo'!$M$4:$M$13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ligo'!$P$4:$P$13</c:f>
              <c:numCache>
                <c:formatCode>General</c:formatCode>
                <c:ptCount val="10"/>
                <c:pt idx="0">
                  <c:v>250.8</c:v>
                </c:pt>
                <c:pt idx="1">
                  <c:v>275.3</c:v>
                </c:pt>
                <c:pt idx="2">
                  <c:v>279.5</c:v>
                </c:pt>
                <c:pt idx="3">
                  <c:v>282.8</c:v>
                </c:pt>
                <c:pt idx="4">
                  <c:v>282.7</c:v>
                </c:pt>
                <c:pt idx="5">
                  <c:v>269.8</c:v>
                </c:pt>
                <c:pt idx="6">
                  <c:v>275</c:v>
                </c:pt>
                <c:pt idx="7">
                  <c:v>236.5</c:v>
                </c:pt>
                <c:pt idx="8">
                  <c:v>259.10000000000002</c:v>
                </c:pt>
                <c:pt idx="9">
                  <c:v>222.2</c:v>
                </c:pt>
              </c:numCache>
            </c:numRef>
          </c:val>
        </c:ser>
        <c:marker val="1"/>
        <c:axId val="97228288"/>
        <c:axId val="97229824"/>
      </c:lineChart>
      <c:catAx>
        <c:axId val="97228288"/>
        <c:scaling>
          <c:orientation val="minMax"/>
        </c:scaling>
        <c:axPos val="b"/>
        <c:numFmt formatCode="General" sourceLinked="1"/>
        <c:tickLblPos val="nextTo"/>
        <c:crossAx val="97229824"/>
        <c:crosses val="autoZero"/>
        <c:auto val="1"/>
        <c:lblAlgn val="ctr"/>
        <c:lblOffset val="100"/>
      </c:catAx>
      <c:valAx>
        <c:axId val="97229824"/>
        <c:scaling>
          <c:orientation val="minMax"/>
          <c:max val="350"/>
          <c:min val="200"/>
        </c:scaling>
        <c:axPos val="l"/>
        <c:majorGridlines/>
        <c:title>
          <c:tx>
            <c:rich>
              <a:bodyPr rot="-5400000" vert="horz"/>
              <a:lstStyle/>
              <a:p>
                <a:pPr>
                  <a:defRPr b="0"/>
                </a:pPr>
                <a:r>
                  <a:rPr lang="lt-LT" b="0"/>
                  <a:t>Rodiklis 1000 gyventojų</a:t>
                </a:r>
              </a:p>
            </c:rich>
          </c:tx>
          <c:layout>
            <c:manualLayout>
              <c:xMode val="edge"/>
              <c:yMode val="edge"/>
              <c:x val="7.5117370892018934E-2"/>
              <c:y val="0.21509084845057391"/>
            </c:manualLayout>
          </c:layout>
        </c:title>
        <c:numFmt formatCode="General" sourceLinked="1"/>
        <c:tickLblPos val="nextTo"/>
        <c:crossAx val="97228288"/>
        <c:crosses val="autoZero"/>
        <c:crossBetween val="between"/>
      </c:valAx>
      <c:dTable>
        <c:showHorzBorder val="1"/>
        <c:showVertBorder val="1"/>
        <c:showOutline val="1"/>
        <c:showKeys val="1"/>
        <c:txPr>
          <a:bodyPr/>
          <a:lstStyle/>
          <a:p>
            <a:pPr rtl="0">
              <a:defRPr sz="800"/>
            </a:pPr>
            <a:endParaRPr lang="lt-LT"/>
          </a:p>
        </c:txPr>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'infekcines ir parazitines ligo'!$Y$3</c:f>
              <c:strCache>
                <c:ptCount val="1"/>
                <c:pt idx="0">
                  <c:v>Vilniaus r.</c:v>
                </c:pt>
              </c:strCache>
            </c:strRef>
          </c:tx>
          <c:marker>
            <c:symbol val="none"/>
          </c:marker>
          <c:cat>
            <c:numRef>
              <c:f>'infekcines ir parazitines ligo'!$X$4:$X$13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ligo'!$Y$4:$Y$13</c:f>
              <c:numCache>
                <c:formatCode>General</c:formatCode>
                <c:ptCount val="10"/>
                <c:pt idx="0">
                  <c:v>65.400000000000006</c:v>
                </c:pt>
                <c:pt idx="1">
                  <c:v>74</c:v>
                </c:pt>
                <c:pt idx="2">
                  <c:v>75.2</c:v>
                </c:pt>
                <c:pt idx="3">
                  <c:v>76</c:v>
                </c:pt>
                <c:pt idx="4">
                  <c:v>58</c:v>
                </c:pt>
                <c:pt idx="5">
                  <c:v>65</c:v>
                </c:pt>
                <c:pt idx="6">
                  <c:v>47.6</c:v>
                </c:pt>
                <c:pt idx="7">
                  <c:v>70.099999999999994</c:v>
                </c:pt>
                <c:pt idx="8">
                  <c:v>49.8</c:v>
                </c:pt>
                <c:pt idx="9">
                  <c:v>49.9</c:v>
                </c:pt>
              </c:numCache>
            </c:numRef>
          </c:val>
        </c:ser>
        <c:ser>
          <c:idx val="1"/>
          <c:order val="1"/>
          <c:tx>
            <c:strRef>
              <c:f>'infekcines ir parazitines ligo'!$Z$3</c:f>
              <c:strCache>
                <c:ptCount val="1"/>
                <c:pt idx="0">
                  <c:v>Vilniaus apskr.</c:v>
                </c:pt>
              </c:strCache>
            </c:strRef>
          </c:tx>
          <c:marker>
            <c:symbol val="none"/>
          </c:marker>
          <c:cat>
            <c:numRef>
              <c:f>'infekcines ir parazitines ligo'!$X$4:$X$13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ligo'!$Z$4:$Z$13</c:f>
              <c:numCache>
                <c:formatCode>General</c:formatCode>
                <c:ptCount val="10"/>
                <c:pt idx="0">
                  <c:v>63.8</c:v>
                </c:pt>
                <c:pt idx="1">
                  <c:v>63.9</c:v>
                </c:pt>
                <c:pt idx="2">
                  <c:v>63.1</c:v>
                </c:pt>
                <c:pt idx="3">
                  <c:v>60.5</c:v>
                </c:pt>
                <c:pt idx="4">
                  <c:v>54.7</c:v>
                </c:pt>
                <c:pt idx="5">
                  <c:v>56.3</c:v>
                </c:pt>
                <c:pt idx="6">
                  <c:v>48</c:v>
                </c:pt>
                <c:pt idx="7">
                  <c:v>50.3</c:v>
                </c:pt>
                <c:pt idx="8">
                  <c:v>40</c:v>
                </c:pt>
                <c:pt idx="9">
                  <c:v>39.4</c:v>
                </c:pt>
              </c:numCache>
            </c:numRef>
          </c:val>
        </c:ser>
        <c:ser>
          <c:idx val="2"/>
          <c:order val="2"/>
          <c:tx>
            <c:strRef>
              <c:f>'infekcines ir parazitines ligo'!$AA$3</c:f>
              <c:strCache>
                <c:ptCount val="1"/>
                <c:pt idx="0">
                  <c:v>Lietuva</c:v>
                </c:pt>
              </c:strCache>
            </c:strRef>
          </c:tx>
          <c:marker>
            <c:symbol val="none"/>
          </c:marker>
          <c:cat>
            <c:numRef>
              <c:f>'infekcines ir parazitines ligo'!$X$4:$X$13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ligo'!$AA$4:$AA$13</c:f>
              <c:numCache>
                <c:formatCode>General</c:formatCode>
                <c:ptCount val="10"/>
                <c:pt idx="0">
                  <c:v>63.9</c:v>
                </c:pt>
                <c:pt idx="1">
                  <c:v>60.5</c:v>
                </c:pt>
                <c:pt idx="2">
                  <c:v>65.099999999999994</c:v>
                </c:pt>
                <c:pt idx="3">
                  <c:v>59</c:v>
                </c:pt>
                <c:pt idx="4">
                  <c:v>61.7</c:v>
                </c:pt>
                <c:pt idx="5">
                  <c:v>61.8</c:v>
                </c:pt>
                <c:pt idx="6">
                  <c:v>58.6</c:v>
                </c:pt>
                <c:pt idx="7">
                  <c:v>56.3</c:v>
                </c:pt>
                <c:pt idx="8">
                  <c:v>50.2</c:v>
                </c:pt>
                <c:pt idx="9">
                  <c:v>47.9</c:v>
                </c:pt>
              </c:numCache>
            </c:numRef>
          </c:val>
        </c:ser>
        <c:marker val="1"/>
        <c:axId val="97281920"/>
        <c:axId val="97283456"/>
      </c:lineChart>
      <c:catAx>
        <c:axId val="97281920"/>
        <c:scaling>
          <c:orientation val="minMax"/>
        </c:scaling>
        <c:axPos val="b"/>
        <c:numFmt formatCode="General" sourceLinked="1"/>
        <c:tickLblPos val="nextTo"/>
        <c:crossAx val="97283456"/>
        <c:crosses val="autoZero"/>
        <c:auto val="1"/>
        <c:lblAlgn val="ctr"/>
        <c:lblOffset val="100"/>
      </c:catAx>
      <c:valAx>
        <c:axId val="97283456"/>
        <c:scaling>
          <c:orientation val="minMax"/>
          <c:min val="35"/>
        </c:scaling>
        <c:axPos val="l"/>
        <c:majorGridlines/>
        <c:title>
          <c:tx>
            <c:rich>
              <a:bodyPr rot="-5400000" vert="horz"/>
              <a:lstStyle/>
              <a:p>
                <a:pPr>
                  <a:defRPr b="0"/>
                </a:pPr>
                <a:r>
                  <a:rPr lang="lt-LT" b="0"/>
                  <a:t>Rodiklis 100000 gyventojų</a:t>
                </a:r>
              </a:p>
            </c:rich>
          </c:tx>
          <c:layout>
            <c:manualLayout>
              <c:xMode val="edge"/>
              <c:yMode val="edge"/>
              <c:x val="6.6133333333333433E-2"/>
              <c:y val="0.20327776466633771"/>
            </c:manualLayout>
          </c:layout>
        </c:title>
        <c:numFmt formatCode="General" sourceLinked="1"/>
        <c:tickLblPos val="nextTo"/>
        <c:crossAx val="97281920"/>
        <c:crosses val="autoZero"/>
        <c:crossBetween val="between"/>
      </c:valAx>
      <c:dTable>
        <c:showHorzBorder val="1"/>
        <c:showVertBorder val="1"/>
        <c:showOutline val="1"/>
        <c:showKeys val="1"/>
        <c:txPr>
          <a:bodyPr/>
          <a:lstStyle/>
          <a:p>
            <a:pPr rtl="0">
              <a:defRPr sz="800"/>
            </a:pPr>
            <a:endParaRPr lang="lt-LT"/>
          </a:p>
        </c:txPr>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lt-LT"/>
  <c:chart>
    <c:view3D>
      <c:rAngAx val="1"/>
    </c:view3D>
    <c:plotArea>
      <c:layout>
        <c:manualLayout>
          <c:layoutTarget val="inner"/>
          <c:xMode val="edge"/>
          <c:yMode val="edge"/>
          <c:x val="0.14287168185609544"/>
          <c:y val="3.9426512170430909E-2"/>
          <c:w val="0.83574833758025602"/>
          <c:h val="0.84250900502102422"/>
        </c:manualLayout>
      </c:layout>
      <c:bar3DChart>
        <c:barDir val="col"/>
        <c:grouping val="clustered"/>
        <c:ser>
          <c:idx val="0"/>
          <c:order val="0"/>
          <c:tx>
            <c:strRef>
              <c:f>'infekcines ir parazitines ligo'!$AJ$3</c:f>
              <c:strCache>
                <c:ptCount val="1"/>
                <c:pt idx="0">
                  <c:v>Vilniaus r.</c:v>
                </c:pt>
              </c:strCache>
            </c:strRef>
          </c:tx>
          <c:dLbls>
            <c:txPr>
              <a:bodyPr/>
              <a:lstStyle/>
              <a:p>
                <a:pPr>
                  <a:defRPr sz="800"/>
                </a:pPr>
                <a:endParaRPr lang="lt-LT"/>
              </a:p>
            </c:txPr>
            <c:showVal val="1"/>
          </c:dLbls>
          <c:cat>
            <c:numRef>
              <c:f>'infekcines ir parazitines ligo'!$AI$4:$AI$13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ligo'!$AJ$4:$AJ$13</c:f>
              <c:numCache>
                <c:formatCode>General</c:formatCode>
                <c:ptCount val="10"/>
                <c:pt idx="0">
                  <c:v>0</c:v>
                </c:pt>
                <c:pt idx="1">
                  <c:v>0</c:v>
                </c:pt>
                <c:pt idx="2">
                  <c:v>0</c:v>
                </c:pt>
                <c:pt idx="3">
                  <c:v>0</c:v>
                </c:pt>
                <c:pt idx="4">
                  <c:v>0</c:v>
                </c:pt>
                <c:pt idx="5">
                  <c:v>2.1</c:v>
                </c:pt>
                <c:pt idx="6">
                  <c:v>0</c:v>
                </c:pt>
                <c:pt idx="7">
                  <c:v>2.1</c:v>
                </c:pt>
                <c:pt idx="8">
                  <c:v>3.1</c:v>
                </c:pt>
                <c:pt idx="9">
                  <c:v>1</c:v>
                </c:pt>
              </c:numCache>
            </c:numRef>
          </c:val>
        </c:ser>
        <c:ser>
          <c:idx val="1"/>
          <c:order val="1"/>
          <c:tx>
            <c:strRef>
              <c:f>'infekcines ir parazitines ligo'!$AK$3</c:f>
              <c:strCache>
                <c:ptCount val="1"/>
                <c:pt idx="0">
                  <c:v>Vilniaus apskr.</c:v>
                </c:pt>
              </c:strCache>
            </c:strRef>
          </c:tx>
          <c:dLbls>
            <c:txPr>
              <a:bodyPr/>
              <a:lstStyle/>
              <a:p>
                <a:pPr>
                  <a:defRPr sz="800"/>
                </a:pPr>
                <a:endParaRPr lang="lt-LT"/>
              </a:p>
            </c:txPr>
            <c:showVal val="1"/>
          </c:dLbls>
          <c:cat>
            <c:numRef>
              <c:f>'infekcines ir parazitines ligo'!$AI$4:$AI$13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ligo'!$AK$4:$AK$13</c:f>
              <c:numCache>
                <c:formatCode>General</c:formatCode>
                <c:ptCount val="10"/>
                <c:pt idx="0">
                  <c:v>1.4</c:v>
                </c:pt>
                <c:pt idx="1">
                  <c:v>2.5</c:v>
                </c:pt>
                <c:pt idx="2">
                  <c:v>2.8</c:v>
                </c:pt>
                <c:pt idx="3">
                  <c:v>1.9000000000000001</c:v>
                </c:pt>
                <c:pt idx="4">
                  <c:v>2</c:v>
                </c:pt>
                <c:pt idx="5">
                  <c:v>2.4</c:v>
                </c:pt>
                <c:pt idx="6">
                  <c:v>3.3</c:v>
                </c:pt>
                <c:pt idx="7">
                  <c:v>3.4</c:v>
                </c:pt>
                <c:pt idx="8">
                  <c:v>6</c:v>
                </c:pt>
                <c:pt idx="9">
                  <c:v>5</c:v>
                </c:pt>
              </c:numCache>
            </c:numRef>
          </c:val>
        </c:ser>
        <c:ser>
          <c:idx val="2"/>
          <c:order val="2"/>
          <c:tx>
            <c:strRef>
              <c:f>'infekcines ir parazitines ligo'!$AL$3</c:f>
              <c:strCache>
                <c:ptCount val="1"/>
                <c:pt idx="0">
                  <c:v>Lietuva</c:v>
                </c:pt>
              </c:strCache>
            </c:strRef>
          </c:tx>
          <c:dLbls>
            <c:dLbl>
              <c:idx val="6"/>
              <c:layout>
                <c:manualLayout>
                  <c:x val="3.8872691933916422E-3"/>
                  <c:y val="0"/>
                </c:manualLayout>
              </c:layout>
              <c:showVal val="1"/>
            </c:dLbl>
            <c:dLbl>
              <c:idx val="7"/>
              <c:layout>
                <c:manualLayout>
                  <c:x val="5.8309037900874834E-3"/>
                  <c:y val="0"/>
                </c:manualLayout>
              </c:layout>
              <c:showVal val="1"/>
            </c:dLbl>
            <c:dLbl>
              <c:idx val="8"/>
              <c:layout>
                <c:manualLayout>
                  <c:x val="5.8309037900874834E-3"/>
                  <c:y val="0"/>
                </c:manualLayout>
              </c:layout>
              <c:showVal val="1"/>
            </c:dLbl>
            <c:dLbl>
              <c:idx val="9"/>
              <c:layout>
                <c:manualLayout>
                  <c:x val="3.8872691933916422E-3"/>
                  <c:y val="6.5710094528768127E-17"/>
                </c:manualLayout>
              </c:layout>
              <c:showVal val="1"/>
            </c:dLbl>
            <c:txPr>
              <a:bodyPr/>
              <a:lstStyle/>
              <a:p>
                <a:pPr>
                  <a:defRPr sz="800"/>
                </a:pPr>
                <a:endParaRPr lang="lt-LT"/>
              </a:p>
            </c:txPr>
            <c:showVal val="1"/>
          </c:dLbls>
          <c:cat>
            <c:numRef>
              <c:f>'infekcines ir parazitines ligo'!$AI$4:$AI$13</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'infekcines ir parazitines ligo'!$AL$4:$AL$13</c:f>
              <c:numCache>
                <c:formatCode>General</c:formatCode>
                <c:ptCount val="10"/>
                <c:pt idx="0">
                  <c:v>2.1</c:v>
                </c:pt>
                <c:pt idx="1">
                  <c:v>11.4</c:v>
                </c:pt>
                <c:pt idx="2">
                  <c:v>3.2</c:v>
                </c:pt>
                <c:pt idx="3">
                  <c:v>3.9</c:v>
                </c:pt>
                <c:pt idx="4">
                  <c:v>3.5</c:v>
                </c:pt>
                <c:pt idx="5">
                  <c:v>3</c:v>
                </c:pt>
                <c:pt idx="6">
                  <c:v>3.1</c:v>
                </c:pt>
                <c:pt idx="7">
                  <c:v>2.8</c:v>
                </c:pt>
                <c:pt idx="8">
                  <c:v>5.4</c:v>
                </c:pt>
                <c:pt idx="9">
                  <c:v>4.7</c:v>
                </c:pt>
              </c:numCache>
            </c:numRef>
          </c:val>
        </c:ser>
        <c:shape val="cylinder"/>
        <c:axId val="97341440"/>
        <c:axId val="97342976"/>
        <c:axId val="0"/>
      </c:bar3DChart>
      <c:catAx>
        <c:axId val="97341440"/>
        <c:scaling>
          <c:orientation val="minMax"/>
        </c:scaling>
        <c:axPos val="b"/>
        <c:numFmt formatCode="General" sourceLinked="1"/>
        <c:tickLblPos val="nextTo"/>
        <c:crossAx val="97342976"/>
        <c:crosses val="autoZero"/>
        <c:auto val="1"/>
        <c:lblAlgn val="ctr"/>
        <c:lblOffset val="100"/>
      </c:catAx>
      <c:valAx>
        <c:axId val="97342976"/>
        <c:scaling>
          <c:orientation val="minMax"/>
        </c:scaling>
        <c:axPos val="l"/>
        <c:majorGridlines/>
        <c:title>
          <c:tx>
            <c:rich>
              <a:bodyPr rot="-5400000" vert="horz"/>
              <a:lstStyle/>
              <a:p>
                <a:pPr>
                  <a:defRPr b="0"/>
                </a:pPr>
                <a:r>
                  <a:rPr lang="lt-LT" b="0"/>
                  <a:t>Rodiklis 100000 gyventojų</a:t>
                </a:r>
              </a:p>
            </c:rich>
          </c:tx>
          <c:layout>
            <c:manualLayout>
              <c:xMode val="edge"/>
              <c:yMode val="edge"/>
              <c:x val="4.0436935179021513E-2"/>
              <c:y val="0.26308546747792538"/>
            </c:manualLayout>
          </c:layout>
        </c:title>
        <c:numFmt formatCode="General" sourceLinked="1"/>
        <c:tickLblPos val="nextTo"/>
        <c:crossAx val="97341440"/>
        <c:crosses val="autoZero"/>
        <c:crossBetween val="between"/>
      </c:valAx>
    </c:plotArea>
    <c:legend>
      <c:legendPos val="r"/>
      <c:layout>
        <c:manualLayout>
          <c:xMode val="edge"/>
          <c:yMode val="edge"/>
          <c:x val="0.74718478202260408"/>
          <c:y val="8.2145848523377266E-2"/>
          <c:w val="0.18192391338092601"/>
          <c:h val="0.20919507330388717"/>
        </c:manualLayout>
      </c:layout>
      <c:spPr>
        <a:solidFill>
          <a:schemeClr val="bg1"/>
        </a:solidFill>
        <a:ln>
          <a:solidFill>
            <a:schemeClr val="tx1">
              <a:lumMod val="65000"/>
              <a:lumOff val="35000"/>
            </a:schemeClr>
          </a:solidFill>
        </a:ln>
      </c:spPr>
    </c:legend>
    <c:plotVisOnly val="1"/>
  </c:chart>
  <c:txPr>
    <a:bodyPr/>
    <a:lstStyle/>
    <a:p>
      <a:pPr>
        <a:defRPr>
          <a:latin typeface="Times New Roman" pitchFamily="18" charset="0"/>
          <a:cs typeface="Times New Roman" pitchFamily="18" charset="0"/>
        </a:defRPr>
      </a:pPr>
      <a:endParaRPr lang="lt-LT"/>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Sheet2!$B$80</c:f>
              <c:strCache>
                <c:ptCount val="1"/>
                <c:pt idx="0">
                  <c:v>Lietuvoje</c:v>
                </c:pt>
              </c:strCache>
            </c:strRef>
          </c:tx>
          <c:marker>
            <c:symbol val="none"/>
          </c:marker>
          <c:cat>
            <c:numRef>
              <c:f>Sheet2!$A$83:$A$88</c:f>
              <c:numCache>
                <c:formatCode>General</c:formatCode>
                <c:ptCount val="6"/>
                <c:pt idx="0">
                  <c:v>2005</c:v>
                </c:pt>
                <c:pt idx="1">
                  <c:v>2006</c:v>
                </c:pt>
                <c:pt idx="2">
                  <c:v>2007</c:v>
                </c:pt>
                <c:pt idx="3">
                  <c:v>2008</c:v>
                </c:pt>
                <c:pt idx="4">
                  <c:v>2009</c:v>
                </c:pt>
                <c:pt idx="5">
                  <c:v>2010</c:v>
                </c:pt>
              </c:numCache>
            </c:numRef>
          </c:cat>
          <c:val>
            <c:numRef>
              <c:f>Sheet2!$B$83:$B$88</c:f>
              <c:numCache>
                <c:formatCode>0.0</c:formatCode>
                <c:ptCount val="6"/>
                <c:pt idx="0">
                  <c:v>6.9</c:v>
                </c:pt>
                <c:pt idx="1">
                  <c:v>10.42</c:v>
                </c:pt>
                <c:pt idx="2">
                  <c:v>6.8599999999999985</c:v>
                </c:pt>
                <c:pt idx="3">
                  <c:v>9.31</c:v>
                </c:pt>
                <c:pt idx="4">
                  <c:v>6.13</c:v>
                </c:pt>
                <c:pt idx="5">
                  <c:v>5.29</c:v>
                </c:pt>
              </c:numCache>
            </c:numRef>
          </c:val>
        </c:ser>
        <c:ser>
          <c:idx val="1"/>
          <c:order val="1"/>
          <c:tx>
            <c:strRef>
              <c:f>Sheet2!$C$80</c:f>
              <c:strCache>
                <c:ptCount val="1"/>
                <c:pt idx="0">
                  <c:v>Vilniaus apskrt.</c:v>
                </c:pt>
              </c:strCache>
            </c:strRef>
          </c:tx>
          <c:spPr>
            <a:ln>
              <a:solidFill>
                <a:schemeClr val="accent6"/>
              </a:solidFill>
            </a:ln>
          </c:spPr>
          <c:marker>
            <c:symbol val="none"/>
          </c:marker>
          <c:cat>
            <c:numRef>
              <c:f>Sheet2!$A$83:$A$88</c:f>
              <c:numCache>
                <c:formatCode>General</c:formatCode>
                <c:ptCount val="6"/>
                <c:pt idx="0">
                  <c:v>2005</c:v>
                </c:pt>
                <c:pt idx="1">
                  <c:v>2006</c:v>
                </c:pt>
                <c:pt idx="2">
                  <c:v>2007</c:v>
                </c:pt>
                <c:pt idx="3">
                  <c:v>2008</c:v>
                </c:pt>
                <c:pt idx="4">
                  <c:v>2009</c:v>
                </c:pt>
                <c:pt idx="5">
                  <c:v>2010</c:v>
                </c:pt>
              </c:numCache>
            </c:numRef>
          </c:cat>
          <c:val>
            <c:numRef>
              <c:f>Sheet2!$C$83:$C$88</c:f>
              <c:numCache>
                <c:formatCode>0.0</c:formatCode>
                <c:ptCount val="6"/>
                <c:pt idx="0">
                  <c:v>7.31</c:v>
                </c:pt>
                <c:pt idx="1">
                  <c:v>14.9</c:v>
                </c:pt>
                <c:pt idx="2">
                  <c:v>7.63</c:v>
                </c:pt>
                <c:pt idx="3">
                  <c:v>11.41</c:v>
                </c:pt>
                <c:pt idx="4">
                  <c:v>8.1</c:v>
                </c:pt>
                <c:pt idx="5">
                  <c:v>6.7</c:v>
                </c:pt>
              </c:numCache>
            </c:numRef>
          </c:val>
        </c:ser>
        <c:ser>
          <c:idx val="2"/>
          <c:order val="2"/>
          <c:tx>
            <c:strRef>
              <c:f>Sheet2!$D$80</c:f>
              <c:strCache>
                <c:ptCount val="1"/>
                <c:pt idx="0">
                  <c:v>Vilniaus r.</c:v>
                </c:pt>
              </c:strCache>
            </c:strRef>
          </c:tx>
          <c:marker>
            <c:symbol val="none"/>
          </c:marker>
          <c:cat>
            <c:numRef>
              <c:f>Sheet2!$A$83:$A$88</c:f>
              <c:numCache>
                <c:formatCode>General</c:formatCode>
                <c:ptCount val="6"/>
                <c:pt idx="0">
                  <c:v>2005</c:v>
                </c:pt>
                <c:pt idx="1">
                  <c:v>2006</c:v>
                </c:pt>
                <c:pt idx="2">
                  <c:v>2007</c:v>
                </c:pt>
                <c:pt idx="3">
                  <c:v>2008</c:v>
                </c:pt>
                <c:pt idx="4">
                  <c:v>2009</c:v>
                </c:pt>
                <c:pt idx="5">
                  <c:v>2010</c:v>
                </c:pt>
              </c:numCache>
            </c:numRef>
          </c:cat>
          <c:val>
            <c:numRef>
              <c:f>Sheet2!$D$83:$D$88</c:f>
              <c:numCache>
                <c:formatCode>0.0</c:formatCode>
                <c:ptCount val="6"/>
                <c:pt idx="0">
                  <c:v>6.73</c:v>
                </c:pt>
                <c:pt idx="1">
                  <c:v>13.42</c:v>
                </c:pt>
                <c:pt idx="2">
                  <c:v>7.99</c:v>
                </c:pt>
                <c:pt idx="3">
                  <c:v>10.01</c:v>
                </c:pt>
                <c:pt idx="4">
                  <c:v>9.7200000000000024</c:v>
                </c:pt>
                <c:pt idx="5">
                  <c:v>7.2</c:v>
                </c:pt>
              </c:numCache>
            </c:numRef>
          </c:val>
        </c:ser>
        <c:marker val="1"/>
        <c:axId val="97385088"/>
        <c:axId val="97464704"/>
      </c:lineChart>
      <c:catAx>
        <c:axId val="97385088"/>
        <c:scaling>
          <c:orientation val="minMax"/>
        </c:scaling>
        <c:axPos val="b"/>
        <c:numFmt formatCode="General" sourceLinked="1"/>
        <c:majorTickMark val="none"/>
        <c:tickLblPos val="nextTo"/>
        <c:crossAx val="97464704"/>
        <c:crosses val="autoZero"/>
        <c:auto val="1"/>
        <c:lblAlgn val="ctr"/>
        <c:lblOffset val="100"/>
      </c:catAx>
      <c:valAx>
        <c:axId val="97464704"/>
        <c:scaling>
          <c:orientation val="minMax"/>
        </c:scaling>
        <c:axPos val="l"/>
        <c:majorGridlines/>
        <c:title>
          <c:tx>
            <c:rich>
              <a:bodyPr/>
              <a:lstStyle/>
              <a:p>
                <a:pPr>
                  <a:defRPr/>
                </a:pPr>
                <a:r>
                  <a:rPr lang="lt-LT"/>
                  <a:t>Rodiklis 10000 gyv.</a:t>
                </a:r>
              </a:p>
            </c:rich>
          </c:tx>
          <c:layout>
            <c:manualLayout>
              <c:xMode val="edge"/>
              <c:yMode val="edge"/>
              <c:x val="8.4024322830294845E-2"/>
              <c:y val="0.18386628754739351"/>
            </c:manualLayout>
          </c:layout>
        </c:title>
        <c:numFmt formatCode="0.0" sourceLinked="1"/>
        <c:majorTickMark val="none"/>
        <c:tickLblPos val="nextTo"/>
        <c:crossAx val="9738508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'Psichika 2010'!$BM$9</c:f>
              <c:strCache>
                <c:ptCount val="1"/>
                <c:pt idx="0">
                  <c:v>Lietuva</c:v>
                </c:pt>
              </c:strCache>
            </c:strRef>
          </c:tx>
          <c:spPr>
            <a:ln>
              <a:solidFill>
                <a:schemeClr val="accent3">
                  <a:lumMod val="75000"/>
                </a:schemeClr>
              </a:solidFill>
            </a:ln>
          </c:spPr>
          <c:marker>
            <c:symbol val="none"/>
          </c:marker>
          <c:cat>
            <c:numRef>
              <c:f>'Psichika 2010'!$BL$10:$BL$18</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'Psichika 2010'!$BM$10:$BM$18</c:f>
              <c:numCache>
                <c:formatCode>General</c:formatCode>
                <c:ptCount val="9"/>
                <c:pt idx="0">
                  <c:v>2696.5</c:v>
                </c:pt>
                <c:pt idx="1">
                  <c:v>2653.5</c:v>
                </c:pt>
                <c:pt idx="2">
                  <c:v>2710.9</c:v>
                </c:pt>
                <c:pt idx="3">
                  <c:v>2717</c:v>
                </c:pt>
                <c:pt idx="4">
                  <c:v>2756.1</c:v>
                </c:pt>
                <c:pt idx="5">
                  <c:v>2803.2</c:v>
                </c:pt>
                <c:pt idx="6">
                  <c:v>2885</c:v>
                </c:pt>
                <c:pt idx="7">
                  <c:v>2947.3</c:v>
                </c:pt>
                <c:pt idx="8">
                  <c:v>3085.7</c:v>
                </c:pt>
              </c:numCache>
            </c:numRef>
          </c:val>
        </c:ser>
        <c:ser>
          <c:idx val="1"/>
          <c:order val="1"/>
          <c:tx>
            <c:strRef>
              <c:f>'Psichika 2010'!$BP$9</c:f>
              <c:strCache>
                <c:ptCount val="1"/>
                <c:pt idx="0">
                  <c:v>Vilniaus r.</c:v>
                </c:pt>
              </c:strCache>
            </c:strRef>
          </c:tx>
          <c:spPr>
            <a:ln>
              <a:solidFill>
                <a:srgbClr val="FF5050"/>
              </a:solidFill>
            </a:ln>
          </c:spPr>
          <c:marker>
            <c:symbol val="none"/>
          </c:marker>
          <c:cat>
            <c:numRef>
              <c:f>'Psichika 2010'!$BL$10:$BL$18</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'Psichika 2010'!$BP$10:$BP$18</c:f>
              <c:numCache>
                <c:formatCode>General</c:formatCode>
                <c:ptCount val="9"/>
                <c:pt idx="0">
                  <c:v>2043.8</c:v>
                </c:pt>
                <c:pt idx="1">
                  <c:v>1748.3</c:v>
                </c:pt>
                <c:pt idx="2">
                  <c:v>1693</c:v>
                </c:pt>
                <c:pt idx="3">
                  <c:v>1549.1</c:v>
                </c:pt>
                <c:pt idx="4">
                  <c:v>1399.6</c:v>
                </c:pt>
                <c:pt idx="5">
                  <c:v>1312.6</c:v>
                </c:pt>
                <c:pt idx="6">
                  <c:v>1293.9000000000001</c:v>
                </c:pt>
                <c:pt idx="7">
                  <c:v>1280</c:v>
                </c:pt>
                <c:pt idx="8">
                  <c:v>1238.4000000000001</c:v>
                </c:pt>
              </c:numCache>
            </c:numRef>
          </c:val>
        </c:ser>
        <c:marker val="1"/>
        <c:axId val="97478528"/>
        <c:axId val="97480064"/>
      </c:lineChart>
      <c:catAx>
        <c:axId val="97478528"/>
        <c:scaling>
          <c:orientation val="minMax"/>
        </c:scaling>
        <c:axPos val="b"/>
        <c:numFmt formatCode="General" sourceLinked="1"/>
        <c:tickLblPos val="nextTo"/>
        <c:crossAx val="97480064"/>
        <c:crosses val="autoZero"/>
        <c:auto val="1"/>
        <c:lblAlgn val="ctr"/>
        <c:lblOffset val="100"/>
      </c:catAx>
      <c:valAx>
        <c:axId val="97480064"/>
        <c:scaling>
          <c:orientation val="minMax"/>
          <c:min val="1000"/>
        </c:scaling>
        <c:axPos val="l"/>
        <c:majorGridlines/>
        <c:numFmt formatCode="General" sourceLinked="1"/>
        <c:tickLblPos val="nextTo"/>
        <c:crossAx val="9747852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'Psichika 2010'!$BV$9</c:f>
              <c:strCache>
                <c:ptCount val="1"/>
                <c:pt idx="0">
                  <c:v>Lietuva</c:v>
                </c:pt>
              </c:strCache>
            </c:strRef>
          </c:tx>
          <c:spPr>
            <a:ln>
              <a:solidFill>
                <a:schemeClr val="accent3">
                  <a:lumMod val="75000"/>
                </a:schemeClr>
              </a:solidFill>
            </a:ln>
          </c:spPr>
          <c:marker>
            <c:symbol val="none"/>
          </c:marker>
          <c:cat>
            <c:numRef>
              <c:f>'Psichika 2010'!$BU$10:$BU$18</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'Psichika 2010'!$BV$10:$BV$18</c:f>
              <c:numCache>
                <c:formatCode>General</c:formatCode>
                <c:ptCount val="9"/>
                <c:pt idx="0">
                  <c:v>190.1</c:v>
                </c:pt>
                <c:pt idx="1">
                  <c:v>187.8</c:v>
                </c:pt>
                <c:pt idx="2">
                  <c:v>190.2</c:v>
                </c:pt>
                <c:pt idx="3">
                  <c:v>160.1</c:v>
                </c:pt>
                <c:pt idx="4">
                  <c:v>162.30000000000001</c:v>
                </c:pt>
                <c:pt idx="5">
                  <c:v>148.9</c:v>
                </c:pt>
                <c:pt idx="6">
                  <c:v>166.1</c:v>
                </c:pt>
                <c:pt idx="7">
                  <c:v>194.5</c:v>
                </c:pt>
                <c:pt idx="8">
                  <c:v>201.2</c:v>
                </c:pt>
              </c:numCache>
            </c:numRef>
          </c:val>
        </c:ser>
        <c:ser>
          <c:idx val="1"/>
          <c:order val="1"/>
          <c:tx>
            <c:strRef>
              <c:f>'Psichika 2010'!$BY$9</c:f>
              <c:strCache>
                <c:ptCount val="1"/>
                <c:pt idx="0">
                  <c:v>Vilniaus r.</c:v>
                </c:pt>
              </c:strCache>
            </c:strRef>
          </c:tx>
          <c:spPr>
            <a:ln>
              <a:solidFill>
                <a:srgbClr val="FF5050"/>
              </a:solidFill>
            </a:ln>
          </c:spPr>
          <c:marker>
            <c:symbol val="none"/>
          </c:marker>
          <c:cat>
            <c:numRef>
              <c:f>'Psichika 2010'!$BU$10:$BU$18</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'Psichika 2010'!$BY$10:$BY$18</c:f>
              <c:numCache>
                <c:formatCode>General</c:formatCode>
                <c:ptCount val="9"/>
                <c:pt idx="0">
                  <c:v>140.19999999999999</c:v>
                </c:pt>
                <c:pt idx="1">
                  <c:v>56.4</c:v>
                </c:pt>
                <c:pt idx="2">
                  <c:v>120.6</c:v>
                </c:pt>
                <c:pt idx="3">
                  <c:v>48.3</c:v>
                </c:pt>
                <c:pt idx="4">
                  <c:v>34.1</c:v>
                </c:pt>
                <c:pt idx="5">
                  <c:v>28.5</c:v>
                </c:pt>
                <c:pt idx="6">
                  <c:v>59.6</c:v>
                </c:pt>
                <c:pt idx="7">
                  <c:v>44.7</c:v>
                </c:pt>
                <c:pt idx="8">
                  <c:v>50.9</c:v>
                </c:pt>
              </c:numCache>
            </c:numRef>
          </c:val>
        </c:ser>
        <c:marker val="1"/>
        <c:axId val="97534720"/>
        <c:axId val="97536256"/>
      </c:lineChart>
      <c:catAx>
        <c:axId val="97534720"/>
        <c:scaling>
          <c:orientation val="minMax"/>
        </c:scaling>
        <c:axPos val="b"/>
        <c:numFmt formatCode="General" sourceLinked="1"/>
        <c:tickLblPos val="nextTo"/>
        <c:crossAx val="97536256"/>
        <c:crosses val="autoZero"/>
        <c:auto val="1"/>
        <c:lblAlgn val="ctr"/>
        <c:lblOffset val="100"/>
      </c:catAx>
      <c:valAx>
        <c:axId val="97536256"/>
        <c:scaling>
          <c:orientation val="minMax"/>
        </c:scaling>
        <c:axPos val="l"/>
        <c:majorGridlines/>
        <c:numFmt formatCode="General" sourceLinked="1"/>
        <c:tickLblPos val="nextTo"/>
        <c:crossAx val="9753472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'Psichika 2010'!$O$9</c:f>
              <c:strCache>
                <c:ptCount val="1"/>
                <c:pt idx="0">
                  <c:v>Lietuva</c:v>
                </c:pt>
              </c:strCache>
            </c:strRef>
          </c:tx>
          <c:spPr>
            <a:ln>
              <a:solidFill>
                <a:schemeClr val="accent3">
                  <a:lumMod val="75000"/>
                </a:schemeClr>
              </a:solidFill>
            </a:ln>
          </c:spPr>
          <c:marker>
            <c:symbol val="none"/>
          </c:marker>
          <c:cat>
            <c:numRef>
              <c:f>'Psichika 2010'!$N$10:$N$19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'Psichika 2010'!$O$10:$O$19</c:f>
              <c:numCache>
                <c:formatCode>0.0</c:formatCode>
                <c:ptCount val="10"/>
                <c:pt idx="0">
                  <c:v>53.46</c:v>
                </c:pt>
                <c:pt idx="1">
                  <c:v>42.230000000000011</c:v>
                </c:pt>
                <c:pt idx="2">
                  <c:v>40.04</c:v>
                </c:pt>
                <c:pt idx="3">
                  <c:v>37.290000000000013</c:v>
                </c:pt>
                <c:pt idx="4">
                  <c:v>85.11</c:v>
                </c:pt>
                <c:pt idx="5">
                  <c:v>79.86999999999999</c:v>
                </c:pt>
                <c:pt idx="6">
                  <c:v>91.81</c:v>
                </c:pt>
                <c:pt idx="7">
                  <c:v>84.84</c:v>
                </c:pt>
                <c:pt idx="8">
                  <c:v>62.349999999999994</c:v>
                </c:pt>
                <c:pt idx="9">
                  <c:v>57.6</c:v>
                </c:pt>
              </c:numCache>
            </c:numRef>
          </c:val>
        </c:ser>
        <c:ser>
          <c:idx val="1"/>
          <c:order val="1"/>
          <c:tx>
            <c:strRef>
              <c:f>'Psichika 2010'!$R$9</c:f>
              <c:strCache>
                <c:ptCount val="1"/>
                <c:pt idx="0">
                  <c:v>Vilniaus r.</c:v>
                </c:pt>
              </c:strCache>
            </c:strRef>
          </c:tx>
          <c:spPr>
            <a:ln>
              <a:solidFill>
                <a:srgbClr val="FF5050"/>
              </a:solidFill>
            </a:ln>
          </c:spPr>
          <c:marker>
            <c:symbol val="none"/>
          </c:marker>
          <c:cat>
            <c:numRef>
              <c:f>'Psichika 2010'!$N$10:$N$19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'Psichika 2010'!$R$10:$R$19</c:f>
              <c:numCache>
                <c:formatCode>0.0</c:formatCode>
                <c:ptCount val="10"/>
                <c:pt idx="0">
                  <c:v>47.36</c:v>
                </c:pt>
                <c:pt idx="1">
                  <c:v>44.86</c:v>
                </c:pt>
                <c:pt idx="2">
                  <c:v>69.66</c:v>
                </c:pt>
                <c:pt idx="3">
                  <c:v>53.220000000000013</c:v>
                </c:pt>
                <c:pt idx="4">
                  <c:v>159.93</c:v>
                </c:pt>
                <c:pt idx="5">
                  <c:v>189.59</c:v>
                </c:pt>
                <c:pt idx="6">
                  <c:v>250.47</c:v>
                </c:pt>
                <c:pt idx="7">
                  <c:v>184.08</c:v>
                </c:pt>
                <c:pt idx="8">
                  <c:v>125.63</c:v>
                </c:pt>
                <c:pt idx="9">
                  <c:v>138.23999999999998</c:v>
                </c:pt>
              </c:numCache>
            </c:numRef>
          </c:val>
        </c:ser>
        <c:marker val="1"/>
        <c:axId val="97586560"/>
        <c:axId val="97588352"/>
      </c:lineChart>
      <c:catAx>
        <c:axId val="97586560"/>
        <c:scaling>
          <c:orientation val="minMax"/>
        </c:scaling>
        <c:axPos val="b"/>
        <c:numFmt formatCode="General" sourceLinked="1"/>
        <c:tickLblPos val="nextTo"/>
        <c:crossAx val="97588352"/>
        <c:crosses val="autoZero"/>
        <c:auto val="1"/>
        <c:lblAlgn val="ctr"/>
        <c:lblOffset val="100"/>
      </c:catAx>
      <c:valAx>
        <c:axId val="97588352"/>
        <c:scaling>
          <c:orientation val="minMax"/>
        </c:scaling>
        <c:axPos val="l"/>
        <c:majorGridlines/>
        <c:title>
          <c:tx>
            <c:rich>
              <a:bodyPr rot="-5400000" vert="horz"/>
              <a:lstStyle/>
              <a:p>
                <a:pPr>
                  <a:defRPr/>
                </a:pPr>
                <a:r>
                  <a:rPr lang="en-US"/>
                  <a:t>Rodiklis 100000 gyv.</a:t>
                </a:r>
                <a:endParaRPr lang="lt-LT"/>
              </a:p>
            </c:rich>
          </c:tx>
          <c:layout>
            <c:manualLayout>
              <c:xMode val="edge"/>
              <c:yMode val="edge"/>
              <c:x val="6.7246376811594219E-2"/>
              <c:y val="0.17140055409740598"/>
            </c:manualLayout>
          </c:layout>
        </c:title>
        <c:numFmt formatCode="0.0" sourceLinked="1"/>
        <c:tickLblPos val="nextTo"/>
        <c:crossAx val="97586560"/>
        <c:crosses val="autoZero"/>
        <c:crossBetween val="between"/>
      </c:valAx>
      <c:dTable>
        <c:showHorzBorder val="1"/>
        <c:showVertBorder val="1"/>
        <c:showOutline val="1"/>
        <c:showKeys val="1"/>
      </c:dTable>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'Psichika 2010'!$CM$9</c:f>
              <c:strCache>
                <c:ptCount val="1"/>
                <c:pt idx="0">
                  <c:v>Lietuva</c:v>
                </c:pt>
              </c:strCache>
            </c:strRef>
          </c:tx>
          <c:spPr>
            <a:ln>
              <a:solidFill>
                <a:schemeClr val="accent3">
                  <a:lumMod val="75000"/>
                </a:schemeClr>
              </a:solidFill>
            </a:ln>
          </c:spPr>
          <c:marker>
            <c:symbol val="none"/>
          </c:marker>
          <c:cat>
            <c:numRef>
              <c:f>'Psichika 2010'!$CL$10:$CL$18</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'Psichika 2010'!$CM$10:$CM$18</c:f>
              <c:numCache>
                <c:formatCode>General</c:formatCode>
                <c:ptCount val="9"/>
                <c:pt idx="0">
                  <c:v>13.6</c:v>
                </c:pt>
                <c:pt idx="1">
                  <c:v>10.3</c:v>
                </c:pt>
                <c:pt idx="2">
                  <c:v>12.3</c:v>
                </c:pt>
                <c:pt idx="3">
                  <c:v>10.200000000000001</c:v>
                </c:pt>
                <c:pt idx="4">
                  <c:v>9.5</c:v>
                </c:pt>
                <c:pt idx="5">
                  <c:v>9.4</c:v>
                </c:pt>
                <c:pt idx="6">
                  <c:v>8.1</c:v>
                </c:pt>
                <c:pt idx="7">
                  <c:v>10.3</c:v>
                </c:pt>
                <c:pt idx="8">
                  <c:v>10</c:v>
                </c:pt>
              </c:numCache>
            </c:numRef>
          </c:val>
        </c:ser>
        <c:ser>
          <c:idx val="1"/>
          <c:order val="1"/>
          <c:tx>
            <c:strRef>
              <c:f>'Psichika 2010'!$CP$9</c:f>
              <c:strCache>
                <c:ptCount val="1"/>
                <c:pt idx="0">
                  <c:v>Vilniaus r.</c:v>
                </c:pt>
              </c:strCache>
            </c:strRef>
          </c:tx>
          <c:spPr>
            <a:ln>
              <a:solidFill>
                <a:srgbClr val="FF5050"/>
              </a:solidFill>
            </a:ln>
          </c:spPr>
          <c:marker>
            <c:symbol val="none"/>
          </c:marker>
          <c:cat>
            <c:numRef>
              <c:f>'Psichika 2010'!$CL$10:$CL$18</c:f>
              <c:numCache>
                <c:formatCode>General</c:formatCode>
                <c:ptCount val="9"/>
                <c:pt idx="0">
                  <c:v>2002</c:v>
                </c:pt>
                <c:pt idx="1">
                  <c:v>2003</c:v>
                </c:pt>
                <c:pt idx="2">
                  <c:v>2004</c:v>
                </c:pt>
                <c:pt idx="3">
                  <c:v>2005</c:v>
                </c:pt>
                <c:pt idx="4">
                  <c:v>2006</c:v>
                </c:pt>
                <c:pt idx="5">
                  <c:v>2007</c:v>
                </c:pt>
                <c:pt idx="6">
                  <c:v>2008</c:v>
                </c:pt>
                <c:pt idx="7">
                  <c:v>2009</c:v>
                </c:pt>
                <c:pt idx="8">
                  <c:v>2010</c:v>
                </c:pt>
              </c:numCache>
            </c:numRef>
          </c:cat>
          <c:val>
            <c:numRef>
              <c:f>'Psichika 2010'!$CP$10:$CP$18</c:f>
              <c:numCache>
                <c:formatCode>General</c:formatCode>
                <c:ptCount val="9"/>
                <c:pt idx="0">
                  <c:v>12.4</c:v>
                </c:pt>
                <c:pt idx="1">
                  <c:v>6.6</c:v>
                </c:pt>
                <c:pt idx="2">
                  <c:v>20.6</c:v>
                </c:pt>
                <c:pt idx="3">
                  <c:v>16.100000000000001</c:v>
                </c:pt>
                <c:pt idx="4">
                  <c:v>8.5</c:v>
                </c:pt>
                <c:pt idx="5">
                  <c:v>13.7</c:v>
                </c:pt>
                <c:pt idx="6">
                  <c:v>13.6</c:v>
                </c:pt>
                <c:pt idx="7">
                  <c:v>14.5</c:v>
                </c:pt>
                <c:pt idx="8">
                  <c:v>17.7</c:v>
                </c:pt>
              </c:numCache>
            </c:numRef>
          </c:val>
        </c:ser>
        <c:marker val="1"/>
        <c:axId val="97598080"/>
        <c:axId val="97624448"/>
      </c:lineChart>
      <c:catAx>
        <c:axId val="97598080"/>
        <c:scaling>
          <c:orientation val="minMax"/>
        </c:scaling>
        <c:axPos val="b"/>
        <c:numFmt formatCode="General" sourceLinked="1"/>
        <c:tickLblPos val="nextTo"/>
        <c:crossAx val="97624448"/>
        <c:crosses val="autoZero"/>
        <c:auto val="1"/>
        <c:lblAlgn val="ctr"/>
        <c:lblOffset val="100"/>
      </c:catAx>
      <c:valAx>
        <c:axId val="97624448"/>
        <c:scaling>
          <c:orientation val="minMax"/>
        </c:scaling>
        <c:axPos val="l"/>
        <c:majorGridlines/>
        <c:numFmt formatCode="General" sourceLinked="1"/>
        <c:tickLblPos val="nextTo"/>
        <c:crossAx val="9759808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percentStacked"/>
        <c:ser>
          <c:idx val="0"/>
          <c:order val="0"/>
          <c:tx>
            <c:v>Moterys</c:v>
          </c:tx>
          <c:spPr>
            <a:solidFill>
              <a:schemeClr val="accent3">
                <a:lumMod val="75000"/>
              </a:schemeClr>
            </a:solidFill>
          </c:spPr>
          <c:cat>
            <c:strRef>
              <c:f>'2010'!$EM$9:$EM$27</c:f>
              <c:strCache>
                <c:ptCount val="19"/>
                <c:pt idx="0">
                  <c:v>0</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 ir vyresni</c:v>
                </c:pt>
              </c:strCache>
            </c:strRef>
          </c:cat>
          <c:val>
            <c:numRef>
              <c:f>'2010'!$EO$9:$EO$27</c:f>
              <c:numCache>
                <c:formatCode>General</c:formatCode>
                <c:ptCount val="19"/>
                <c:pt idx="0">
                  <c:v>1</c:v>
                </c:pt>
                <c:pt idx="1">
                  <c:v>0</c:v>
                </c:pt>
                <c:pt idx="2">
                  <c:v>2</c:v>
                </c:pt>
                <c:pt idx="3">
                  <c:v>0</c:v>
                </c:pt>
                <c:pt idx="4">
                  <c:v>0</c:v>
                </c:pt>
                <c:pt idx="5">
                  <c:v>0</c:v>
                </c:pt>
                <c:pt idx="6">
                  <c:v>1</c:v>
                </c:pt>
                <c:pt idx="7">
                  <c:v>1</c:v>
                </c:pt>
                <c:pt idx="8">
                  <c:v>5</c:v>
                </c:pt>
                <c:pt idx="9">
                  <c:v>5</c:v>
                </c:pt>
                <c:pt idx="10">
                  <c:v>12</c:v>
                </c:pt>
                <c:pt idx="11">
                  <c:v>21</c:v>
                </c:pt>
                <c:pt idx="12">
                  <c:v>26</c:v>
                </c:pt>
                <c:pt idx="13">
                  <c:v>34</c:v>
                </c:pt>
                <c:pt idx="14">
                  <c:v>39</c:v>
                </c:pt>
                <c:pt idx="15">
                  <c:v>60</c:v>
                </c:pt>
                <c:pt idx="16">
                  <c:v>86</c:v>
                </c:pt>
                <c:pt idx="17">
                  <c:v>121</c:v>
                </c:pt>
                <c:pt idx="18">
                  <c:v>147</c:v>
                </c:pt>
              </c:numCache>
            </c:numRef>
          </c:val>
        </c:ser>
        <c:ser>
          <c:idx val="1"/>
          <c:order val="1"/>
          <c:tx>
            <c:v>Vyrai</c:v>
          </c:tx>
          <c:spPr>
            <a:solidFill>
              <a:srgbClr val="FF5050"/>
            </a:solidFill>
            <a:ln>
              <a:noFill/>
            </a:ln>
          </c:spPr>
          <c:cat>
            <c:strRef>
              <c:f>'2010'!$EM$9:$EM$27</c:f>
              <c:strCache>
                <c:ptCount val="19"/>
                <c:pt idx="0">
                  <c:v>0</c:v>
                </c:pt>
                <c:pt idx="1">
                  <c:v>1–4</c:v>
                </c:pt>
                <c:pt idx="2">
                  <c:v>5–9</c:v>
                </c:pt>
                <c:pt idx="3">
                  <c:v>10–14</c:v>
                </c:pt>
                <c:pt idx="4">
                  <c:v>15–19</c:v>
                </c:pt>
                <c:pt idx="5">
                  <c:v>20–24</c:v>
                </c:pt>
                <c:pt idx="6">
                  <c:v>25–29</c:v>
                </c:pt>
                <c:pt idx="7">
                  <c:v>30–34</c:v>
                </c:pt>
                <c:pt idx="8">
                  <c:v>35–39</c:v>
                </c:pt>
                <c:pt idx="9">
                  <c:v>40–44</c:v>
                </c:pt>
                <c:pt idx="10">
                  <c:v>45–49</c:v>
                </c:pt>
                <c:pt idx="11">
                  <c:v>50–54</c:v>
                </c:pt>
                <c:pt idx="12">
                  <c:v>55–59</c:v>
                </c:pt>
                <c:pt idx="13">
                  <c:v>60–64</c:v>
                </c:pt>
                <c:pt idx="14">
                  <c:v>65–69</c:v>
                </c:pt>
                <c:pt idx="15">
                  <c:v>70–74</c:v>
                </c:pt>
                <c:pt idx="16">
                  <c:v>75–79</c:v>
                </c:pt>
                <c:pt idx="17">
                  <c:v>80–84</c:v>
                </c:pt>
                <c:pt idx="18">
                  <c:v>85 ir vyresni</c:v>
                </c:pt>
              </c:strCache>
            </c:strRef>
          </c:cat>
          <c:val>
            <c:numRef>
              <c:f>'2010'!$EX$9:$EX$27</c:f>
              <c:numCache>
                <c:formatCode>General</c:formatCode>
                <c:ptCount val="19"/>
                <c:pt idx="0">
                  <c:v>2</c:v>
                </c:pt>
                <c:pt idx="1">
                  <c:v>1</c:v>
                </c:pt>
                <c:pt idx="2">
                  <c:v>0</c:v>
                </c:pt>
                <c:pt idx="3">
                  <c:v>0</c:v>
                </c:pt>
                <c:pt idx="4">
                  <c:v>5</c:v>
                </c:pt>
                <c:pt idx="5">
                  <c:v>7</c:v>
                </c:pt>
                <c:pt idx="6">
                  <c:v>10</c:v>
                </c:pt>
                <c:pt idx="7">
                  <c:v>12</c:v>
                </c:pt>
                <c:pt idx="8">
                  <c:v>18</c:v>
                </c:pt>
                <c:pt idx="9">
                  <c:v>33</c:v>
                </c:pt>
                <c:pt idx="10">
                  <c:v>31</c:v>
                </c:pt>
                <c:pt idx="11">
                  <c:v>60</c:v>
                </c:pt>
                <c:pt idx="12">
                  <c:v>52</c:v>
                </c:pt>
                <c:pt idx="13">
                  <c:v>64</c:v>
                </c:pt>
                <c:pt idx="14">
                  <c:v>80</c:v>
                </c:pt>
                <c:pt idx="15">
                  <c:v>79</c:v>
                </c:pt>
                <c:pt idx="16">
                  <c:v>56</c:v>
                </c:pt>
                <c:pt idx="17">
                  <c:v>62</c:v>
                </c:pt>
                <c:pt idx="18">
                  <c:v>41</c:v>
                </c:pt>
              </c:numCache>
            </c:numRef>
          </c:val>
        </c:ser>
        <c:overlap val="100"/>
        <c:axId val="79855616"/>
        <c:axId val="79857152"/>
      </c:barChart>
      <c:catAx>
        <c:axId val="79855616"/>
        <c:scaling>
          <c:orientation val="minMax"/>
        </c:scaling>
        <c:axPos val="b"/>
        <c:tickLblPos val="nextTo"/>
        <c:txPr>
          <a:bodyPr/>
          <a:lstStyle/>
          <a:p>
            <a:pPr>
              <a:defRPr lang="en-US"/>
            </a:pPr>
            <a:endParaRPr lang="lt-LT"/>
          </a:p>
        </c:txPr>
        <c:crossAx val="79857152"/>
        <c:crosses val="autoZero"/>
        <c:auto val="1"/>
        <c:lblAlgn val="ctr"/>
        <c:lblOffset val="100"/>
      </c:catAx>
      <c:valAx>
        <c:axId val="79857152"/>
        <c:scaling>
          <c:orientation val="minMax"/>
        </c:scaling>
        <c:axPos val="l"/>
        <c:majorGridlines/>
        <c:numFmt formatCode="0%" sourceLinked="1"/>
        <c:tickLblPos val="nextTo"/>
        <c:txPr>
          <a:bodyPr/>
          <a:lstStyle/>
          <a:p>
            <a:pPr>
              <a:defRPr lang="en-US"/>
            </a:pPr>
            <a:endParaRPr lang="lt-LT"/>
          </a:p>
        </c:txPr>
        <c:crossAx val="79855616"/>
        <c:crosses val="autoZero"/>
        <c:crossBetween val="between"/>
      </c:valAx>
      <c:dTable>
        <c:showHorzBorder val="1"/>
        <c:showVertBorder val="1"/>
        <c:showOutline val="1"/>
        <c:showKeys val="1"/>
        <c:txPr>
          <a:bodyPr/>
          <a:lstStyle/>
          <a:p>
            <a:pPr rtl="0">
              <a:defRPr lang="en-US" sz="800" baseline="0"/>
            </a:pPr>
            <a:endParaRPr lang="lt-LT"/>
          </a:p>
        </c:txPr>
      </c:dTable>
    </c:plotArea>
    <c:plotVisOnly val="1"/>
    <c:dispBlanksAs val="gap"/>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Sheet1!$C$54:$C$55</c:f>
              <c:strCache>
                <c:ptCount val="1"/>
                <c:pt idx="0">
                  <c:v>Visi atvejai (Vilniaus r.)</c:v>
                </c:pt>
              </c:strCache>
            </c:strRef>
          </c:tx>
          <c:marker>
            <c:symbol val="none"/>
          </c:marker>
          <c:cat>
            <c:numRef>
              <c:f>Sheet1!$B$56:$B$65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Sheet1!$C$56:$C$65</c:f>
              <c:numCache>
                <c:formatCode>0.0</c:formatCode>
                <c:ptCount val="10"/>
                <c:pt idx="0">
                  <c:v>79.31</c:v>
                </c:pt>
                <c:pt idx="1">
                  <c:v>77.14</c:v>
                </c:pt>
                <c:pt idx="2">
                  <c:v>67.440000000000026</c:v>
                </c:pt>
                <c:pt idx="3">
                  <c:v>72.42</c:v>
                </c:pt>
                <c:pt idx="4">
                  <c:v>79.069999999999993</c:v>
                </c:pt>
                <c:pt idx="5">
                  <c:v>83.59</c:v>
                </c:pt>
                <c:pt idx="6">
                  <c:v>82.940000000000026</c:v>
                </c:pt>
                <c:pt idx="7">
                  <c:v>84.77</c:v>
                </c:pt>
                <c:pt idx="8">
                  <c:v>79.540000000000006</c:v>
                </c:pt>
                <c:pt idx="9">
                  <c:v>79.7</c:v>
                </c:pt>
              </c:numCache>
            </c:numRef>
          </c:val>
        </c:ser>
        <c:ser>
          <c:idx val="1"/>
          <c:order val="1"/>
          <c:tx>
            <c:strRef>
              <c:f>Sheet1!$D$54:$D$55</c:f>
              <c:strCache>
                <c:ptCount val="1"/>
                <c:pt idx="0">
                  <c:v>Visi atvejai (Lietuva)</c:v>
                </c:pt>
              </c:strCache>
            </c:strRef>
          </c:tx>
          <c:spPr>
            <a:ln>
              <a:solidFill>
                <a:schemeClr val="accent1"/>
              </a:solidFill>
              <a:prstDash val="sysDash"/>
            </a:ln>
          </c:spPr>
          <c:marker>
            <c:symbol val="none"/>
          </c:marker>
          <c:cat>
            <c:numRef>
              <c:f>Sheet1!$B$56:$B$65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Sheet1!$D$56:$D$65</c:f>
              <c:numCache>
                <c:formatCode>0.0</c:formatCode>
                <c:ptCount val="10"/>
                <c:pt idx="0">
                  <c:v>78.209999999999994</c:v>
                </c:pt>
                <c:pt idx="1">
                  <c:v>80.45</c:v>
                </c:pt>
                <c:pt idx="2">
                  <c:v>78.83</c:v>
                </c:pt>
                <c:pt idx="3">
                  <c:v>84.710000000000022</c:v>
                </c:pt>
                <c:pt idx="4">
                  <c:v>88.179999999999978</c:v>
                </c:pt>
                <c:pt idx="5">
                  <c:v>85.440000000000026</c:v>
                </c:pt>
                <c:pt idx="6">
                  <c:v>84.61</c:v>
                </c:pt>
                <c:pt idx="7">
                  <c:v>92.51</c:v>
                </c:pt>
                <c:pt idx="8">
                  <c:v>90.240000000000023</c:v>
                </c:pt>
                <c:pt idx="9">
                  <c:v>91.6</c:v>
                </c:pt>
              </c:numCache>
            </c:numRef>
          </c:val>
        </c:ser>
        <c:ser>
          <c:idx val="2"/>
          <c:order val="2"/>
          <c:tx>
            <c:strRef>
              <c:f>Sheet1!$E$54:$E$55</c:f>
              <c:strCache>
                <c:ptCount val="1"/>
                <c:pt idx="0">
                  <c:v>Nauji atvejai (Vilniaus r.)</c:v>
                </c:pt>
              </c:strCache>
            </c:strRef>
          </c:tx>
          <c:spPr>
            <a:ln>
              <a:solidFill>
                <a:schemeClr val="accent6"/>
              </a:solidFill>
            </a:ln>
          </c:spPr>
          <c:marker>
            <c:symbol val="none"/>
          </c:marker>
          <c:cat>
            <c:numRef>
              <c:f>Sheet1!$B$56:$B$65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Sheet1!$E$56:$E$65</c:f>
              <c:numCache>
                <c:formatCode>0.0</c:formatCode>
                <c:ptCount val="10"/>
                <c:pt idx="0">
                  <c:v>51.849999999999994</c:v>
                </c:pt>
                <c:pt idx="1">
                  <c:v>53.56</c:v>
                </c:pt>
                <c:pt idx="2">
                  <c:v>47.809999999999995</c:v>
                </c:pt>
                <c:pt idx="3">
                  <c:v>52.43</c:v>
                </c:pt>
                <c:pt idx="4">
                  <c:v>56.89</c:v>
                </c:pt>
                <c:pt idx="5">
                  <c:v>60.13</c:v>
                </c:pt>
                <c:pt idx="6">
                  <c:v>59.87</c:v>
                </c:pt>
                <c:pt idx="7">
                  <c:v>60.32</c:v>
                </c:pt>
                <c:pt idx="8">
                  <c:v>57.48</c:v>
                </c:pt>
                <c:pt idx="9">
                  <c:v>55.7</c:v>
                </c:pt>
              </c:numCache>
            </c:numRef>
          </c:val>
        </c:ser>
        <c:ser>
          <c:idx val="3"/>
          <c:order val="3"/>
          <c:tx>
            <c:strRef>
              <c:f>Sheet1!$F$54:$F$55</c:f>
              <c:strCache>
                <c:ptCount val="1"/>
                <c:pt idx="0">
                  <c:v>Nauji atvejai (Lietuva)</c:v>
                </c:pt>
              </c:strCache>
            </c:strRef>
          </c:tx>
          <c:spPr>
            <a:ln>
              <a:solidFill>
                <a:schemeClr val="accent6"/>
              </a:solidFill>
              <a:prstDash val="sysDash"/>
            </a:ln>
          </c:spPr>
          <c:marker>
            <c:symbol val="none"/>
          </c:marker>
          <c:cat>
            <c:numRef>
              <c:f>Sheet1!$B$56:$B$65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Sheet1!$F$56:$F$65</c:f>
              <c:numCache>
                <c:formatCode>0.0</c:formatCode>
                <c:ptCount val="10"/>
                <c:pt idx="0">
                  <c:v>46.44</c:v>
                </c:pt>
                <c:pt idx="1">
                  <c:v>51.28</c:v>
                </c:pt>
                <c:pt idx="2">
                  <c:v>51.63</c:v>
                </c:pt>
                <c:pt idx="3">
                  <c:v>56.92</c:v>
                </c:pt>
                <c:pt idx="4">
                  <c:v>58.89</c:v>
                </c:pt>
                <c:pt idx="5">
                  <c:v>57.01</c:v>
                </c:pt>
                <c:pt idx="6">
                  <c:v>56.06</c:v>
                </c:pt>
                <c:pt idx="7">
                  <c:v>61.260000000000012</c:v>
                </c:pt>
                <c:pt idx="8">
                  <c:v>59.3</c:v>
                </c:pt>
                <c:pt idx="9">
                  <c:v>60.9</c:v>
                </c:pt>
              </c:numCache>
            </c:numRef>
          </c:val>
        </c:ser>
        <c:marker val="1"/>
        <c:axId val="97672192"/>
        <c:axId val="97690368"/>
      </c:lineChart>
      <c:catAx>
        <c:axId val="97672192"/>
        <c:scaling>
          <c:orientation val="minMax"/>
        </c:scaling>
        <c:axPos val="b"/>
        <c:numFmt formatCode="General" sourceLinked="1"/>
        <c:majorTickMark val="none"/>
        <c:tickLblPos val="nextTo"/>
        <c:crossAx val="97690368"/>
        <c:crosses val="autoZero"/>
        <c:auto val="1"/>
        <c:lblAlgn val="ctr"/>
        <c:lblOffset val="100"/>
      </c:catAx>
      <c:valAx>
        <c:axId val="97690368"/>
        <c:scaling>
          <c:orientation val="minMax"/>
        </c:scaling>
        <c:axPos val="l"/>
        <c:majorGridlines/>
        <c:title>
          <c:tx>
            <c:rich>
              <a:bodyPr/>
              <a:lstStyle/>
              <a:p>
                <a:pPr>
                  <a:defRPr/>
                </a:pPr>
                <a:r>
                  <a:rPr lang="lt-LT"/>
                  <a:t>Rodiklis 1000 gyv.</a:t>
                </a:r>
              </a:p>
            </c:rich>
          </c:tx>
          <c:layout>
            <c:manualLayout>
              <c:xMode val="edge"/>
              <c:yMode val="edge"/>
              <c:x val="0.14444444444444696"/>
              <c:y val="0.11658610382035578"/>
            </c:manualLayout>
          </c:layout>
        </c:title>
        <c:numFmt formatCode="0.0" sourceLinked="1"/>
        <c:majorTickMark val="none"/>
        <c:tickLblPos val="nextTo"/>
        <c:crossAx val="97672192"/>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date1904 val="1"/>
  <c:lang val="lt-LT"/>
  <c:chart>
    <c:autoTitleDeleted val="1"/>
    <c:view3D>
      <c:rAngAx val="1"/>
    </c:view3D>
    <c:plotArea>
      <c:layout/>
      <c:bar3DChart>
        <c:barDir val="bar"/>
        <c:grouping val="clustered"/>
        <c:ser>
          <c:idx val="0"/>
          <c:order val="0"/>
          <c:dLbls>
            <c:dLbl>
              <c:idx val="6"/>
              <c:layout>
                <c:manualLayout>
                  <c:x val="8.2597969092726917E-3"/>
                  <c:y val="1.15164833773455E-2"/>
                </c:manualLayout>
              </c:layout>
              <c:showVal val="1"/>
            </c:dLbl>
            <c:dLbl>
              <c:idx val="7"/>
              <c:layout>
                <c:manualLayout>
                  <c:x val="0"/>
                  <c:y val="4.6296296296296523E-2"/>
                </c:manualLayout>
              </c:layout>
              <c:showVal val="1"/>
            </c:dLbl>
            <c:dLbl>
              <c:idx val="8"/>
              <c:layout>
                <c:manualLayout>
                  <c:x val="0"/>
                  <c:y val="4.0200464204572885E-2"/>
                </c:manualLayout>
              </c:layout>
              <c:showVal val="1"/>
            </c:dLbl>
            <c:showVal val="1"/>
          </c:dLbls>
          <c:cat>
            <c:strRef>
              <c:f>Sheet1!$A$186:$A$194</c:f>
              <c:strCache>
                <c:ptCount val="9"/>
                <c:pt idx="0">
                  <c:v>Kasos ligos</c:v>
                </c:pt>
                <c:pt idx="1">
                  <c:v>Tulžies pūslės akmenligė</c:v>
                </c:pt>
                <c:pt idx="2">
                  <c:v>Kepenų ligos</c:v>
                </c:pt>
                <c:pt idx="3">
                  <c:v>Dispepsija ir kitos skrandžio ir dvylikap. žarnos ligos</c:v>
                </c:pt>
                <c:pt idx="4">
                  <c:v>Gastritas ir duodenitas</c:v>
                </c:pt>
                <c:pt idx="5">
                  <c:v>Skrandžio, dvylikap. žarnos ir gastrojejuninė opos</c:v>
                </c:pt>
                <c:pt idx="6">
                  <c:v>Stemplės ligos</c:v>
                </c:pt>
                <c:pt idx="7">
                  <c:v>Kitos virškinimo sistemos ligos, iš jų:</c:v>
                </c:pt>
                <c:pt idx="8">
                  <c:v>Dantų ligos</c:v>
                </c:pt>
              </c:strCache>
            </c:strRef>
          </c:cat>
          <c:val>
            <c:numRef>
              <c:f>Sheet1!$B$186:$B$194</c:f>
              <c:numCache>
                <c:formatCode>General</c:formatCode>
                <c:ptCount val="9"/>
                <c:pt idx="0">
                  <c:v>3.1</c:v>
                </c:pt>
                <c:pt idx="1">
                  <c:v>5.3</c:v>
                </c:pt>
                <c:pt idx="2">
                  <c:v>5.4</c:v>
                </c:pt>
                <c:pt idx="3">
                  <c:v>10.4</c:v>
                </c:pt>
                <c:pt idx="4">
                  <c:v>16.7</c:v>
                </c:pt>
                <c:pt idx="5">
                  <c:v>5.2</c:v>
                </c:pt>
                <c:pt idx="6">
                  <c:v>11.5</c:v>
                </c:pt>
                <c:pt idx="7">
                  <c:v>68.099999999999994</c:v>
                </c:pt>
                <c:pt idx="8">
                  <c:v>69.900000000000006</c:v>
                </c:pt>
              </c:numCache>
            </c:numRef>
          </c:val>
        </c:ser>
        <c:dLbls>
          <c:showVal val="1"/>
        </c:dLbls>
        <c:shape val="cylinder"/>
        <c:axId val="97745152"/>
        <c:axId val="97755136"/>
        <c:axId val="0"/>
      </c:bar3DChart>
      <c:catAx>
        <c:axId val="97745152"/>
        <c:scaling>
          <c:orientation val="minMax"/>
        </c:scaling>
        <c:axPos val="l"/>
        <c:majorTickMark val="none"/>
        <c:tickLblPos val="nextTo"/>
        <c:crossAx val="97755136"/>
        <c:crosses val="autoZero"/>
        <c:auto val="1"/>
        <c:lblAlgn val="ctr"/>
        <c:lblOffset val="100"/>
      </c:catAx>
      <c:valAx>
        <c:axId val="97755136"/>
        <c:scaling>
          <c:orientation val="minMax"/>
        </c:scaling>
        <c:delete val="1"/>
        <c:axPos val="b"/>
        <c:numFmt formatCode="General" sourceLinked="1"/>
        <c:tickLblPos val="none"/>
        <c:crossAx val="97745152"/>
        <c:crosses val="autoZero"/>
        <c:crossBetween val="between"/>
      </c:valAx>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Sheet1!$C$99</c:f>
              <c:strCache>
                <c:ptCount val="1"/>
                <c:pt idx="0">
                  <c:v>0-17 m.</c:v>
                </c:pt>
              </c:strCache>
            </c:strRef>
          </c:tx>
          <c:marker>
            <c:symbol val="none"/>
          </c:marker>
          <c:cat>
            <c:numRef>
              <c:f>Sheet1!$B$100:$B$109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Sheet1!$C$100:$C$109</c:f>
              <c:numCache>
                <c:formatCode>0.0</c:formatCode>
                <c:ptCount val="10"/>
                <c:pt idx="0">
                  <c:v>70.25</c:v>
                </c:pt>
                <c:pt idx="1">
                  <c:v>79.52</c:v>
                </c:pt>
                <c:pt idx="2">
                  <c:v>75.58</c:v>
                </c:pt>
                <c:pt idx="3">
                  <c:v>82.410000000000025</c:v>
                </c:pt>
                <c:pt idx="4">
                  <c:v>86.88</c:v>
                </c:pt>
                <c:pt idx="5">
                  <c:v>85.9</c:v>
                </c:pt>
                <c:pt idx="6">
                  <c:v>81.440000000000026</c:v>
                </c:pt>
                <c:pt idx="7">
                  <c:v>85.23</c:v>
                </c:pt>
                <c:pt idx="8">
                  <c:v>88.57</c:v>
                </c:pt>
                <c:pt idx="9">
                  <c:v>85.841300000000004</c:v>
                </c:pt>
              </c:numCache>
            </c:numRef>
          </c:val>
        </c:ser>
        <c:ser>
          <c:idx val="1"/>
          <c:order val="1"/>
          <c:tx>
            <c:strRef>
              <c:f>Sheet1!$D$99</c:f>
              <c:strCache>
                <c:ptCount val="1"/>
                <c:pt idx="0">
                  <c:v>18-44 m. </c:v>
                </c:pt>
              </c:strCache>
            </c:strRef>
          </c:tx>
          <c:spPr>
            <a:ln>
              <a:solidFill>
                <a:srgbClr val="F79646"/>
              </a:solidFill>
            </a:ln>
          </c:spPr>
          <c:marker>
            <c:symbol val="none"/>
          </c:marker>
          <c:cat>
            <c:numRef>
              <c:f>Sheet1!$B$100:$B$109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Sheet1!$D$100:$D$109</c:f>
              <c:numCache>
                <c:formatCode>0.0</c:formatCode>
                <c:ptCount val="10"/>
                <c:pt idx="0">
                  <c:v>48.620000000000012</c:v>
                </c:pt>
                <c:pt idx="1">
                  <c:v>47.14</c:v>
                </c:pt>
                <c:pt idx="2">
                  <c:v>44.03</c:v>
                </c:pt>
                <c:pt idx="3">
                  <c:v>44.260000000000012</c:v>
                </c:pt>
                <c:pt idx="4">
                  <c:v>52.09</c:v>
                </c:pt>
                <c:pt idx="5">
                  <c:v>53.82</c:v>
                </c:pt>
                <c:pt idx="6">
                  <c:v>51.849999999999994</c:v>
                </c:pt>
                <c:pt idx="7">
                  <c:v>53.24</c:v>
                </c:pt>
                <c:pt idx="8">
                  <c:v>45</c:v>
                </c:pt>
                <c:pt idx="9">
                  <c:v>45.859699999999997</c:v>
                </c:pt>
              </c:numCache>
            </c:numRef>
          </c:val>
        </c:ser>
        <c:ser>
          <c:idx val="2"/>
          <c:order val="2"/>
          <c:tx>
            <c:strRef>
              <c:f>Sheet1!$E$99</c:f>
              <c:strCache>
                <c:ptCount val="1"/>
                <c:pt idx="0">
                  <c:v>45-64 m. </c:v>
                </c:pt>
              </c:strCache>
            </c:strRef>
          </c:tx>
          <c:marker>
            <c:symbol val="none"/>
          </c:marker>
          <c:cat>
            <c:numRef>
              <c:f>Sheet1!$B$100:$B$109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Sheet1!$E$100:$E$109</c:f>
              <c:numCache>
                <c:formatCode>0.0</c:formatCode>
                <c:ptCount val="10"/>
                <c:pt idx="0">
                  <c:v>71.25</c:v>
                </c:pt>
                <c:pt idx="1">
                  <c:v>72.410000000000025</c:v>
                </c:pt>
                <c:pt idx="2">
                  <c:v>61.849999999999994</c:v>
                </c:pt>
                <c:pt idx="3">
                  <c:v>65.59</c:v>
                </c:pt>
                <c:pt idx="4">
                  <c:v>70.22</c:v>
                </c:pt>
                <c:pt idx="5">
                  <c:v>77.239999999999995</c:v>
                </c:pt>
                <c:pt idx="6">
                  <c:v>80.36</c:v>
                </c:pt>
                <c:pt idx="7">
                  <c:v>77.34</c:v>
                </c:pt>
                <c:pt idx="8">
                  <c:v>74.11</c:v>
                </c:pt>
                <c:pt idx="9">
                  <c:v>74.861099999999993</c:v>
                </c:pt>
              </c:numCache>
            </c:numRef>
          </c:val>
        </c:ser>
        <c:ser>
          <c:idx val="3"/>
          <c:order val="3"/>
          <c:tx>
            <c:strRef>
              <c:f>Sheet1!$F$99</c:f>
              <c:strCache>
                <c:ptCount val="1"/>
                <c:pt idx="0">
                  <c:v>65 m. ir vyresni</c:v>
                </c:pt>
              </c:strCache>
            </c:strRef>
          </c:tx>
          <c:marker>
            <c:symbol val="none"/>
          </c:marker>
          <c:cat>
            <c:numRef>
              <c:f>Sheet1!$B$100:$B$109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Sheet1!$F$100:$F$109</c:f>
              <c:numCache>
                <c:formatCode>0.0</c:formatCode>
                <c:ptCount val="10"/>
                <c:pt idx="0">
                  <c:v>110.92</c:v>
                </c:pt>
                <c:pt idx="1">
                  <c:v>107.14</c:v>
                </c:pt>
                <c:pt idx="2">
                  <c:v>87.39</c:v>
                </c:pt>
                <c:pt idx="3">
                  <c:v>88.85</c:v>
                </c:pt>
                <c:pt idx="4">
                  <c:v>98.75</c:v>
                </c:pt>
                <c:pt idx="5">
                  <c:v>98.149999999999991</c:v>
                </c:pt>
                <c:pt idx="6">
                  <c:v>102.32</c:v>
                </c:pt>
                <c:pt idx="7">
                  <c:v>107.57</c:v>
                </c:pt>
                <c:pt idx="8">
                  <c:v>98.03</c:v>
                </c:pt>
                <c:pt idx="9">
                  <c:v>97.636899999999983</c:v>
                </c:pt>
              </c:numCache>
            </c:numRef>
          </c:val>
        </c:ser>
        <c:marker val="1"/>
        <c:axId val="37688448"/>
        <c:axId val="37689984"/>
      </c:lineChart>
      <c:catAx>
        <c:axId val="37688448"/>
        <c:scaling>
          <c:orientation val="minMax"/>
        </c:scaling>
        <c:axPos val="b"/>
        <c:numFmt formatCode="General" sourceLinked="1"/>
        <c:majorTickMark val="none"/>
        <c:tickLblPos val="nextTo"/>
        <c:crossAx val="37689984"/>
        <c:crosses val="autoZero"/>
        <c:auto val="1"/>
        <c:lblAlgn val="ctr"/>
        <c:lblOffset val="100"/>
      </c:catAx>
      <c:valAx>
        <c:axId val="37689984"/>
        <c:scaling>
          <c:orientation val="minMax"/>
        </c:scaling>
        <c:axPos val="l"/>
        <c:majorGridlines/>
        <c:title>
          <c:tx>
            <c:rich>
              <a:bodyPr/>
              <a:lstStyle/>
              <a:p>
                <a:pPr>
                  <a:defRPr/>
                </a:pPr>
                <a:r>
                  <a:rPr lang="lt-LT"/>
                  <a:t>Rodiklis 1000 gyv.</a:t>
                </a:r>
              </a:p>
            </c:rich>
          </c:tx>
          <c:layout>
            <c:manualLayout>
              <c:xMode val="edge"/>
              <c:yMode val="edge"/>
              <c:x val="9.3645484949833768E-2"/>
              <c:y val="0.17229221347331591"/>
            </c:manualLayout>
          </c:layout>
        </c:title>
        <c:numFmt formatCode="0.0" sourceLinked="1"/>
        <c:majorTickMark val="none"/>
        <c:tickLblPos val="nextTo"/>
        <c:crossAx val="3768844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Sheet1!$F$500:$F$501</c:f>
              <c:strCache>
                <c:ptCount val="1"/>
                <c:pt idx="0">
                  <c:v>Endokrin. ligos (Vilniaus r.)</c:v>
                </c:pt>
              </c:strCache>
            </c:strRef>
          </c:tx>
          <c:marker>
            <c:symbol val="none"/>
          </c:marker>
          <c:cat>
            <c:numRef>
              <c:f>Sheet1!$E$502:$E$511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Sheet1!$F$502:$F$511</c:f>
              <c:numCache>
                <c:formatCode>0.0</c:formatCode>
                <c:ptCount val="10"/>
                <c:pt idx="0">
                  <c:v>38.330999999999996</c:v>
                </c:pt>
                <c:pt idx="1">
                  <c:v>40.808300000000003</c:v>
                </c:pt>
                <c:pt idx="2">
                  <c:v>39.626300000000121</c:v>
                </c:pt>
                <c:pt idx="3">
                  <c:v>42.240100000000012</c:v>
                </c:pt>
                <c:pt idx="4">
                  <c:v>46.400100000000002</c:v>
                </c:pt>
                <c:pt idx="5">
                  <c:v>51.6158</c:v>
                </c:pt>
                <c:pt idx="6">
                  <c:v>54.912100000000002</c:v>
                </c:pt>
                <c:pt idx="7">
                  <c:v>56.656100000000002</c:v>
                </c:pt>
                <c:pt idx="8">
                  <c:v>56.273700000000012</c:v>
                </c:pt>
                <c:pt idx="9">
                  <c:v>57.125600000000013</c:v>
                </c:pt>
              </c:numCache>
            </c:numRef>
          </c:val>
        </c:ser>
        <c:ser>
          <c:idx val="1"/>
          <c:order val="1"/>
          <c:tx>
            <c:strRef>
              <c:f>Sheet1!$G$500:$G$501</c:f>
              <c:strCache>
                <c:ptCount val="1"/>
                <c:pt idx="0">
                  <c:v>Endokrin. ligos (Lietuva)</c:v>
                </c:pt>
              </c:strCache>
            </c:strRef>
          </c:tx>
          <c:spPr>
            <a:ln>
              <a:solidFill>
                <a:schemeClr val="accent1"/>
              </a:solidFill>
              <a:prstDash val="sysDash"/>
            </a:ln>
          </c:spPr>
          <c:marker>
            <c:symbol val="none"/>
          </c:marker>
          <c:cat>
            <c:numRef>
              <c:f>Sheet1!$E$502:$E$511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Sheet1!$G$502:$G$511</c:f>
              <c:numCache>
                <c:formatCode>0.0</c:formatCode>
                <c:ptCount val="10"/>
                <c:pt idx="0">
                  <c:v>33.769900000000113</c:v>
                </c:pt>
                <c:pt idx="1">
                  <c:v>37.035600000000002</c:v>
                </c:pt>
                <c:pt idx="2">
                  <c:v>41.157699999999998</c:v>
                </c:pt>
                <c:pt idx="3">
                  <c:v>45.725800000000113</c:v>
                </c:pt>
                <c:pt idx="4">
                  <c:v>48.892500000000013</c:v>
                </c:pt>
                <c:pt idx="5">
                  <c:v>53.478400000000001</c:v>
                </c:pt>
                <c:pt idx="6">
                  <c:v>59.636800000000001</c:v>
                </c:pt>
                <c:pt idx="7">
                  <c:v>68.132599999999982</c:v>
                </c:pt>
                <c:pt idx="8">
                  <c:v>73.031099999999995</c:v>
                </c:pt>
                <c:pt idx="9">
                  <c:v>80.256600000000006</c:v>
                </c:pt>
              </c:numCache>
            </c:numRef>
          </c:val>
        </c:ser>
        <c:ser>
          <c:idx val="2"/>
          <c:order val="2"/>
          <c:tx>
            <c:strRef>
              <c:f>Sheet1!$H$500:$H$501</c:f>
              <c:strCache>
                <c:ptCount val="1"/>
                <c:pt idx="0">
                  <c:v>CD (Vilniaus r.)</c:v>
                </c:pt>
              </c:strCache>
            </c:strRef>
          </c:tx>
          <c:spPr>
            <a:ln>
              <a:solidFill>
                <a:schemeClr val="accent6"/>
              </a:solidFill>
            </a:ln>
          </c:spPr>
          <c:marker>
            <c:symbol val="none"/>
          </c:marker>
          <c:cat>
            <c:numRef>
              <c:f>Sheet1!$E$502:$E$511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Sheet1!$H$502:$H$511</c:f>
              <c:numCache>
                <c:formatCode>0.0</c:formatCode>
                <c:ptCount val="10"/>
                <c:pt idx="0">
                  <c:v>10.713299999999998</c:v>
                </c:pt>
                <c:pt idx="1">
                  <c:v>11.965500000000041</c:v>
                </c:pt>
                <c:pt idx="2">
                  <c:v>12.460600000000024</c:v>
                </c:pt>
                <c:pt idx="3">
                  <c:v>13.240099999999998</c:v>
                </c:pt>
                <c:pt idx="4">
                  <c:v>13.792300000000001</c:v>
                </c:pt>
                <c:pt idx="5">
                  <c:v>15.657300000000001</c:v>
                </c:pt>
                <c:pt idx="6">
                  <c:v>16.739899999999999</c:v>
                </c:pt>
                <c:pt idx="7">
                  <c:v>18.125299999999989</c:v>
                </c:pt>
                <c:pt idx="8">
                  <c:v>18.42909999999992</c:v>
                </c:pt>
                <c:pt idx="9">
                  <c:v>19.1874</c:v>
                </c:pt>
              </c:numCache>
            </c:numRef>
          </c:val>
        </c:ser>
        <c:ser>
          <c:idx val="3"/>
          <c:order val="3"/>
          <c:tx>
            <c:strRef>
              <c:f>Sheet1!$I$500:$I$501</c:f>
              <c:strCache>
                <c:ptCount val="1"/>
                <c:pt idx="0">
                  <c:v>CD (Lietuva)</c:v>
                </c:pt>
              </c:strCache>
            </c:strRef>
          </c:tx>
          <c:spPr>
            <a:ln>
              <a:solidFill>
                <a:srgbClr val="F79646"/>
              </a:solidFill>
              <a:prstDash val="sysDash"/>
            </a:ln>
          </c:spPr>
          <c:marker>
            <c:symbol val="none"/>
          </c:marker>
          <c:cat>
            <c:numRef>
              <c:f>Sheet1!$E$502:$E$511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Sheet1!$I$502:$I$511</c:f>
              <c:numCache>
                <c:formatCode>0.0</c:formatCode>
                <c:ptCount val="10"/>
                <c:pt idx="0">
                  <c:v>10.929</c:v>
                </c:pt>
                <c:pt idx="1">
                  <c:v>12.453800000000006</c:v>
                </c:pt>
                <c:pt idx="2">
                  <c:v>14.005000000000004</c:v>
                </c:pt>
                <c:pt idx="3">
                  <c:v>15.503</c:v>
                </c:pt>
                <c:pt idx="4">
                  <c:v>16.319900000000068</c:v>
                </c:pt>
                <c:pt idx="5">
                  <c:v>17.442699999999867</c:v>
                </c:pt>
                <c:pt idx="6">
                  <c:v>18.513100000000001</c:v>
                </c:pt>
                <c:pt idx="7">
                  <c:v>20.310800000000068</c:v>
                </c:pt>
                <c:pt idx="8">
                  <c:v>21.6937</c:v>
                </c:pt>
                <c:pt idx="9">
                  <c:v>23.145199999999939</c:v>
                </c:pt>
              </c:numCache>
            </c:numRef>
          </c:val>
        </c:ser>
        <c:marker val="1"/>
        <c:axId val="79615872"/>
        <c:axId val="79617408"/>
      </c:lineChart>
      <c:catAx>
        <c:axId val="79615872"/>
        <c:scaling>
          <c:orientation val="minMax"/>
        </c:scaling>
        <c:axPos val="b"/>
        <c:numFmt formatCode="General" sourceLinked="1"/>
        <c:majorTickMark val="none"/>
        <c:tickLblPos val="nextTo"/>
        <c:crossAx val="79617408"/>
        <c:crosses val="autoZero"/>
        <c:auto val="1"/>
        <c:lblAlgn val="ctr"/>
        <c:lblOffset val="100"/>
      </c:catAx>
      <c:valAx>
        <c:axId val="79617408"/>
        <c:scaling>
          <c:orientation val="minMax"/>
        </c:scaling>
        <c:axPos val="l"/>
        <c:majorGridlines/>
        <c:title>
          <c:tx>
            <c:rich>
              <a:bodyPr/>
              <a:lstStyle/>
              <a:p>
                <a:pPr>
                  <a:defRPr/>
                </a:pPr>
                <a:r>
                  <a:rPr lang="lt-LT"/>
                  <a:t>Rodiklis 1000 gyv.</a:t>
                </a:r>
              </a:p>
            </c:rich>
          </c:tx>
          <c:layout>
            <c:manualLayout>
              <c:xMode val="edge"/>
              <c:yMode val="edge"/>
              <c:x val="0.12304589006555723"/>
              <c:y val="0.16303295421405617"/>
            </c:manualLayout>
          </c:layout>
        </c:title>
        <c:numFmt formatCode="0.0" sourceLinked="1"/>
        <c:majorTickMark val="none"/>
        <c:tickLblPos val="nextTo"/>
        <c:crossAx val="79615872"/>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Sheet1!$F$550:$F$551</c:f>
              <c:strCache>
                <c:ptCount val="1"/>
                <c:pt idx="0">
                  <c:v>Endokr. ligos Vyrai</c:v>
                </c:pt>
              </c:strCache>
            </c:strRef>
          </c:tx>
          <c:marker>
            <c:symbol val="none"/>
          </c:marker>
          <c:cat>
            <c:numRef>
              <c:f>Sheet1!$E$552:$E$561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Sheet1!$F$552:$F$561</c:f>
              <c:numCache>
                <c:formatCode>0.0</c:formatCode>
                <c:ptCount val="10"/>
                <c:pt idx="0">
                  <c:v>15.770900000000001</c:v>
                </c:pt>
                <c:pt idx="1">
                  <c:v>16.1554</c:v>
                </c:pt>
                <c:pt idx="2">
                  <c:v>16.339900000000064</c:v>
                </c:pt>
                <c:pt idx="3">
                  <c:v>17.54029999999992</c:v>
                </c:pt>
                <c:pt idx="4">
                  <c:v>18.734000000000005</c:v>
                </c:pt>
                <c:pt idx="5">
                  <c:v>21.93839999999992</c:v>
                </c:pt>
                <c:pt idx="6">
                  <c:v>24.7241</c:v>
                </c:pt>
                <c:pt idx="7">
                  <c:v>28.4314</c:v>
                </c:pt>
                <c:pt idx="8">
                  <c:v>29.721999999999987</c:v>
                </c:pt>
                <c:pt idx="9">
                  <c:v>31.164000000000001</c:v>
                </c:pt>
              </c:numCache>
            </c:numRef>
          </c:val>
        </c:ser>
        <c:ser>
          <c:idx val="1"/>
          <c:order val="1"/>
          <c:tx>
            <c:strRef>
              <c:f>Sheet1!$G$550:$G$551</c:f>
              <c:strCache>
                <c:ptCount val="1"/>
                <c:pt idx="0">
                  <c:v>Endokr. ligos Moterys</c:v>
                </c:pt>
              </c:strCache>
            </c:strRef>
          </c:tx>
          <c:spPr>
            <a:ln>
              <a:solidFill>
                <a:schemeClr val="accent1"/>
              </a:solidFill>
              <a:prstDash val="sysDash"/>
            </a:ln>
          </c:spPr>
          <c:marker>
            <c:symbol val="none"/>
          </c:marker>
          <c:cat>
            <c:numRef>
              <c:f>Sheet1!$E$552:$E$561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Sheet1!$G$552:$G$561</c:f>
              <c:numCache>
                <c:formatCode>0.0</c:formatCode>
                <c:ptCount val="10"/>
                <c:pt idx="0">
                  <c:v>59.199000000000012</c:v>
                </c:pt>
                <c:pt idx="1">
                  <c:v>63.596500000000013</c:v>
                </c:pt>
                <c:pt idx="2">
                  <c:v>61.158000000000001</c:v>
                </c:pt>
                <c:pt idx="3">
                  <c:v>65.087400000000002</c:v>
                </c:pt>
                <c:pt idx="4">
                  <c:v>72.008799999999979</c:v>
                </c:pt>
                <c:pt idx="5">
                  <c:v>79.135399999999919</c:v>
                </c:pt>
                <c:pt idx="6">
                  <c:v>82.971400000000003</c:v>
                </c:pt>
                <c:pt idx="7">
                  <c:v>82.947800000000257</c:v>
                </c:pt>
                <c:pt idx="8">
                  <c:v>80.917700000000025</c:v>
                </c:pt>
                <c:pt idx="9">
                  <c:v>81.052999999999983</c:v>
                </c:pt>
              </c:numCache>
            </c:numRef>
          </c:val>
        </c:ser>
        <c:ser>
          <c:idx val="2"/>
          <c:order val="2"/>
          <c:tx>
            <c:strRef>
              <c:f>Sheet1!$H$550:$H$551</c:f>
              <c:strCache>
                <c:ptCount val="1"/>
                <c:pt idx="0">
                  <c:v>CD Vyrai</c:v>
                </c:pt>
              </c:strCache>
            </c:strRef>
          </c:tx>
          <c:spPr>
            <a:ln>
              <a:solidFill>
                <a:schemeClr val="accent6"/>
              </a:solidFill>
            </a:ln>
          </c:spPr>
          <c:marker>
            <c:symbol val="none"/>
          </c:marker>
          <c:cat>
            <c:numRef>
              <c:f>Sheet1!$E$552:$E$561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Sheet1!$H$552:$H$561</c:f>
              <c:numCache>
                <c:formatCode>0.0</c:formatCode>
                <c:ptCount val="10"/>
                <c:pt idx="0">
                  <c:v>6.7824</c:v>
                </c:pt>
                <c:pt idx="1">
                  <c:v>8.0309999999999988</c:v>
                </c:pt>
                <c:pt idx="2">
                  <c:v>8.3310000000000013</c:v>
                </c:pt>
                <c:pt idx="3">
                  <c:v>8.7701000000000011</c:v>
                </c:pt>
                <c:pt idx="4">
                  <c:v>8.7082999999999995</c:v>
                </c:pt>
                <c:pt idx="5">
                  <c:v>9.8070000000000004</c:v>
                </c:pt>
                <c:pt idx="6">
                  <c:v>11.210299999999998</c:v>
                </c:pt>
                <c:pt idx="7">
                  <c:v>12.9253</c:v>
                </c:pt>
                <c:pt idx="8">
                  <c:v>13.5237</c:v>
                </c:pt>
                <c:pt idx="9">
                  <c:v>14.021600000000001</c:v>
                </c:pt>
              </c:numCache>
            </c:numRef>
          </c:val>
        </c:ser>
        <c:ser>
          <c:idx val="3"/>
          <c:order val="3"/>
          <c:tx>
            <c:strRef>
              <c:f>Sheet1!$I$550:$I$551</c:f>
              <c:strCache>
                <c:ptCount val="1"/>
                <c:pt idx="0">
                  <c:v>CD Moterys</c:v>
                </c:pt>
              </c:strCache>
            </c:strRef>
          </c:tx>
          <c:spPr>
            <a:ln>
              <a:solidFill>
                <a:srgbClr val="F79646"/>
              </a:solidFill>
              <a:prstDash val="sysDash"/>
            </a:ln>
          </c:spPr>
          <c:marker>
            <c:symbol val="none"/>
          </c:marker>
          <c:cat>
            <c:numRef>
              <c:f>Sheet1!$E$552:$E$561</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Sheet1!$I$552:$I$561</c:f>
              <c:numCache>
                <c:formatCode>0.0</c:formatCode>
                <c:ptCount val="10"/>
                <c:pt idx="0">
                  <c:v>14.349300000000001</c:v>
                </c:pt>
                <c:pt idx="1">
                  <c:v>15.602400000000006</c:v>
                </c:pt>
                <c:pt idx="2">
                  <c:v>16.279</c:v>
                </c:pt>
                <c:pt idx="3">
                  <c:v>17.374800000000068</c:v>
                </c:pt>
                <c:pt idx="4">
                  <c:v>18.498199999999908</c:v>
                </c:pt>
                <c:pt idx="5">
                  <c:v>21.082199999999901</c:v>
                </c:pt>
                <c:pt idx="6">
                  <c:v>21.8797</c:v>
                </c:pt>
                <c:pt idx="7">
                  <c:v>22.969199999999908</c:v>
                </c:pt>
                <c:pt idx="8">
                  <c:v>22.982099999999878</c:v>
                </c:pt>
                <c:pt idx="9">
                  <c:v>23.948399999999882</c:v>
                </c:pt>
              </c:numCache>
            </c:numRef>
          </c:val>
        </c:ser>
        <c:marker val="1"/>
        <c:axId val="37898880"/>
        <c:axId val="37908864"/>
      </c:lineChart>
      <c:catAx>
        <c:axId val="37898880"/>
        <c:scaling>
          <c:orientation val="minMax"/>
        </c:scaling>
        <c:axPos val="b"/>
        <c:numFmt formatCode="General" sourceLinked="1"/>
        <c:majorTickMark val="none"/>
        <c:tickLblPos val="nextTo"/>
        <c:crossAx val="37908864"/>
        <c:crosses val="autoZero"/>
        <c:auto val="1"/>
        <c:lblAlgn val="ctr"/>
        <c:lblOffset val="100"/>
      </c:catAx>
      <c:valAx>
        <c:axId val="37908864"/>
        <c:scaling>
          <c:orientation val="minMax"/>
        </c:scaling>
        <c:axPos val="l"/>
        <c:majorGridlines/>
        <c:title>
          <c:tx>
            <c:rich>
              <a:bodyPr/>
              <a:lstStyle/>
              <a:p>
                <a:pPr>
                  <a:defRPr/>
                </a:pPr>
                <a:r>
                  <a:rPr lang="lt-LT"/>
                  <a:t>Rodiklis 1000 gyv.</a:t>
                </a:r>
              </a:p>
            </c:rich>
          </c:tx>
          <c:layout>
            <c:manualLayout>
              <c:xMode val="edge"/>
              <c:yMode val="edge"/>
              <c:x val="0.12222222222222294"/>
              <c:y val="0.20150481189851269"/>
            </c:manualLayout>
          </c:layout>
        </c:title>
        <c:numFmt formatCode="0.0" sourceLinked="1"/>
        <c:majorTickMark val="none"/>
        <c:tickLblPos val="nextTo"/>
        <c:crossAx val="3789888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Sheet1!$F$598</c:f>
              <c:strCache>
                <c:ptCount val="1"/>
                <c:pt idx="0">
                  <c:v>0-17 m.</c:v>
                </c:pt>
              </c:strCache>
            </c:strRef>
          </c:tx>
          <c:marker>
            <c:symbol val="none"/>
          </c:marker>
          <c:cat>
            <c:numRef>
              <c:f>Sheet1!$E$599:$E$608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Sheet1!$F$599:$F$608</c:f>
              <c:numCache>
                <c:formatCode>0.0</c:formatCode>
                <c:ptCount val="10"/>
                <c:pt idx="0">
                  <c:v>22.311399999999999</c:v>
                </c:pt>
                <c:pt idx="1">
                  <c:v>21.852699999999924</c:v>
                </c:pt>
                <c:pt idx="2">
                  <c:v>19.0365</c:v>
                </c:pt>
                <c:pt idx="3">
                  <c:v>20.880800000000001</c:v>
                </c:pt>
                <c:pt idx="4">
                  <c:v>23.24</c:v>
                </c:pt>
                <c:pt idx="5">
                  <c:v>22.6327</c:v>
                </c:pt>
                <c:pt idx="6">
                  <c:v>23.886199999999924</c:v>
                </c:pt>
                <c:pt idx="7">
                  <c:v>22.571300000000001</c:v>
                </c:pt>
                <c:pt idx="8">
                  <c:v>20.695699999999924</c:v>
                </c:pt>
                <c:pt idx="9">
                  <c:v>22.236000000000001</c:v>
                </c:pt>
              </c:numCache>
            </c:numRef>
          </c:val>
        </c:ser>
        <c:ser>
          <c:idx val="1"/>
          <c:order val="1"/>
          <c:tx>
            <c:strRef>
              <c:f>Sheet1!$G$598</c:f>
              <c:strCache>
                <c:ptCount val="1"/>
                <c:pt idx="0">
                  <c:v>18-44 m.</c:v>
                </c:pt>
              </c:strCache>
            </c:strRef>
          </c:tx>
          <c:spPr>
            <a:ln>
              <a:solidFill>
                <a:srgbClr val="F79646"/>
              </a:solidFill>
            </a:ln>
          </c:spPr>
          <c:marker>
            <c:symbol val="none"/>
          </c:marker>
          <c:cat>
            <c:numRef>
              <c:f>Sheet1!$E$599:$E$608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Sheet1!$G$599:$G$608</c:f>
              <c:numCache>
                <c:formatCode>0.0</c:formatCode>
                <c:ptCount val="10"/>
                <c:pt idx="0">
                  <c:v>36.619600000000005</c:v>
                </c:pt>
                <c:pt idx="1">
                  <c:v>36.744700000000002</c:v>
                </c:pt>
                <c:pt idx="2">
                  <c:v>33.836800000000004</c:v>
                </c:pt>
                <c:pt idx="3">
                  <c:v>34.308800000000005</c:v>
                </c:pt>
                <c:pt idx="4">
                  <c:v>36.790800000000011</c:v>
                </c:pt>
                <c:pt idx="5">
                  <c:v>37.425400000000003</c:v>
                </c:pt>
                <c:pt idx="6">
                  <c:v>39.179500000000012</c:v>
                </c:pt>
                <c:pt idx="7">
                  <c:v>37.447899999999997</c:v>
                </c:pt>
                <c:pt idx="8">
                  <c:v>36.815799999999996</c:v>
                </c:pt>
                <c:pt idx="9">
                  <c:v>35.249400000000001</c:v>
                </c:pt>
              </c:numCache>
            </c:numRef>
          </c:val>
        </c:ser>
        <c:ser>
          <c:idx val="2"/>
          <c:order val="2"/>
          <c:tx>
            <c:strRef>
              <c:f>Sheet1!$H$598</c:f>
              <c:strCache>
                <c:ptCount val="1"/>
                <c:pt idx="0">
                  <c:v>45-64 m.</c:v>
                </c:pt>
              </c:strCache>
            </c:strRef>
          </c:tx>
          <c:marker>
            <c:symbol val="none"/>
          </c:marker>
          <c:cat>
            <c:numRef>
              <c:f>Sheet1!$E$599:$E$608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Sheet1!$H$599:$H$608</c:f>
              <c:numCache>
                <c:formatCode>0.0</c:formatCode>
                <c:ptCount val="10"/>
                <c:pt idx="0">
                  <c:v>50.169300000000113</c:v>
                </c:pt>
                <c:pt idx="1">
                  <c:v>54.612000000000002</c:v>
                </c:pt>
                <c:pt idx="2">
                  <c:v>56.420100000000012</c:v>
                </c:pt>
                <c:pt idx="3">
                  <c:v>61.050599999999996</c:v>
                </c:pt>
                <c:pt idx="4">
                  <c:v>67.396799999999999</c:v>
                </c:pt>
                <c:pt idx="5">
                  <c:v>79.588099999999983</c:v>
                </c:pt>
                <c:pt idx="6">
                  <c:v>84.275699999999986</c:v>
                </c:pt>
                <c:pt idx="7">
                  <c:v>92.10199999999999</c:v>
                </c:pt>
                <c:pt idx="8">
                  <c:v>90.871899999999982</c:v>
                </c:pt>
                <c:pt idx="9">
                  <c:v>93.334900000000005</c:v>
                </c:pt>
              </c:numCache>
            </c:numRef>
          </c:val>
        </c:ser>
        <c:ser>
          <c:idx val="3"/>
          <c:order val="3"/>
          <c:tx>
            <c:strRef>
              <c:f>Sheet1!$I$598</c:f>
              <c:strCache>
                <c:ptCount val="1"/>
                <c:pt idx="0">
                  <c:v>65 m. ir vyresni</c:v>
                </c:pt>
              </c:strCache>
            </c:strRef>
          </c:tx>
          <c:marker>
            <c:symbol val="none"/>
          </c:marker>
          <c:cat>
            <c:numRef>
              <c:f>Sheet1!$E$599:$E$608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Sheet1!$I$599:$I$608</c:f>
              <c:numCache>
                <c:formatCode>0.0</c:formatCode>
                <c:ptCount val="10"/>
                <c:pt idx="0">
                  <c:v>54.634700000000002</c:v>
                </c:pt>
                <c:pt idx="1">
                  <c:v>65.509299999999996</c:v>
                </c:pt>
                <c:pt idx="2">
                  <c:v>65.791700000000006</c:v>
                </c:pt>
                <c:pt idx="3">
                  <c:v>71.065600000000003</c:v>
                </c:pt>
                <c:pt idx="4">
                  <c:v>77.837500000000006</c:v>
                </c:pt>
                <c:pt idx="5">
                  <c:v>92.323899999999981</c:v>
                </c:pt>
                <c:pt idx="6">
                  <c:v>99.106399999999979</c:v>
                </c:pt>
                <c:pt idx="7">
                  <c:v>103.503</c:v>
                </c:pt>
                <c:pt idx="8">
                  <c:v>106.28400000000002</c:v>
                </c:pt>
                <c:pt idx="9">
                  <c:v>108.17499999999998</c:v>
                </c:pt>
              </c:numCache>
            </c:numRef>
          </c:val>
        </c:ser>
        <c:marker val="1"/>
        <c:axId val="37948800"/>
        <c:axId val="37958784"/>
      </c:lineChart>
      <c:catAx>
        <c:axId val="37948800"/>
        <c:scaling>
          <c:orientation val="minMax"/>
        </c:scaling>
        <c:axPos val="b"/>
        <c:numFmt formatCode="General" sourceLinked="1"/>
        <c:majorTickMark val="none"/>
        <c:tickLblPos val="nextTo"/>
        <c:crossAx val="37958784"/>
        <c:crosses val="autoZero"/>
        <c:auto val="1"/>
        <c:lblAlgn val="ctr"/>
        <c:lblOffset val="100"/>
      </c:catAx>
      <c:valAx>
        <c:axId val="37958784"/>
        <c:scaling>
          <c:orientation val="minMax"/>
        </c:scaling>
        <c:axPos val="l"/>
        <c:majorGridlines/>
        <c:title>
          <c:tx>
            <c:rich>
              <a:bodyPr/>
              <a:lstStyle/>
              <a:p>
                <a:pPr>
                  <a:defRPr/>
                </a:pPr>
                <a:r>
                  <a:rPr lang="lt-LT"/>
                  <a:t>Rodiklis 1000 gyv.</a:t>
                </a:r>
              </a:p>
            </c:rich>
          </c:tx>
          <c:layout>
            <c:manualLayout>
              <c:xMode val="edge"/>
              <c:yMode val="edge"/>
              <c:x val="8.0267558528428096E-2"/>
              <c:y val="0.14068314377369495"/>
            </c:manualLayout>
          </c:layout>
        </c:title>
        <c:numFmt formatCode="0.0" sourceLinked="1"/>
        <c:majorTickMark val="none"/>
        <c:tickLblPos val="nextTo"/>
        <c:crossAx val="3794880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Sheet3!$D$395:$D$396</c:f>
              <c:strCache>
                <c:ptCount val="1"/>
                <c:pt idx="0">
                  <c:v>Kraujod. org. ligos (Vilniaus r.)</c:v>
                </c:pt>
              </c:strCache>
            </c:strRef>
          </c:tx>
          <c:marker>
            <c:symbol val="none"/>
          </c:marker>
          <c:cat>
            <c:numRef>
              <c:f>Sheet3!$C$397:$C$406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Sheet3!$D$397:$D$406</c:f>
              <c:numCache>
                <c:formatCode>0.0</c:formatCode>
                <c:ptCount val="10"/>
                <c:pt idx="0">
                  <c:v>7.1270999999999765</c:v>
                </c:pt>
                <c:pt idx="1">
                  <c:v>7.8387000000000002</c:v>
                </c:pt>
                <c:pt idx="2">
                  <c:v>7.2199</c:v>
                </c:pt>
                <c:pt idx="3">
                  <c:v>8.1352000000000011</c:v>
                </c:pt>
                <c:pt idx="4">
                  <c:v>8.8550000000000733</c:v>
                </c:pt>
                <c:pt idx="5">
                  <c:v>10.4808</c:v>
                </c:pt>
                <c:pt idx="6">
                  <c:v>7.9367000000000134</c:v>
                </c:pt>
                <c:pt idx="7">
                  <c:v>7.4991000000000003</c:v>
                </c:pt>
                <c:pt idx="8">
                  <c:v>6.8420999999999985</c:v>
                </c:pt>
                <c:pt idx="9">
                  <c:v>7.3277999999999945</c:v>
                </c:pt>
              </c:numCache>
            </c:numRef>
          </c:val>
        </c:ser>
        <c:ser>
          <c:idx val="1"/>
          <c:order val="1"/>
          <c:tx>
            <c:strRef>
              <c:f>Sheet3!$E$395:$E$396</c:f>
              <c:strCache>
                <c:ptCount val="1"/>
                <c:pt idx="0">
                  <c:v>Kraujod. org. ligos (Lietuva)</c:v>
                </c:pt>
              </c:strCache>
            </c:strRef>
          </c:tx>
          <c:spPr>
            <a:ln>
              <a:solidFill>
                <a:schemeClr val="accent1"/>
              </a:solidFill>
              <a:prstDash val="sysDash"/>
            </a:ln>
          </c:spPr>
          <c:marker>
            <c:symbol val="none"/>
          </c:marker>
          <c:cat>
            <c:numRef>
              <c:f>Sheet3!$C$397:$C$406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Sheet3!$E$397:$E$406</c:f>
              <c:numCache>
                <c:formatCode>0.0</c:formatCode>
                <c:ptCount val="10"/>
                <c:pt idx="0">
                  <c:v>7.6643999999999846</c:v>
                </c:pt>
                <c:pt idx="1">
                  <c:v>8.6208000000000009</c:v>
                </c:pt>
                <c:pt idx="2">
                  <c:v>8.3287000000000013</c:v>
                </c:pt>
                <c:pt idx="3">
                  <c:v>8.4524000000000878</c:v>
                </c:pt>
                <c:pt idx="4">
                  <c:v>8.6688000000000009</c:v>
                </c:pt>
                <c:pt idx="5">
                  <c:v>8.8027000000000228</c:v>
                </c:pt>
                <c:pt idx="6">
                  <c:v>8.5125000000000028</c:v>
                </c:pt>
                <c:pt idx="7">
                  <c:v>8.9654000000000824</c:v>
                </c:pt>
                <c:pt idx="8">
                  <c:v>9.4944000000000006</c:v>
                </c:pt>
                <c:pt idx="9">
                  <c:v>10.534800000000001</c:v>
                </c:pt>
              </c:numCache>
            </c:numRef>
          </c:val>
        </c:ser>
        <c:ser>
          <c:idx val="2"/>
          <c:order val="2"/>
          <c:tx>
            <c:strRef>
              <c:f>Sheet3!$F$395:$F$396</c:f>
              <c:strCache>
                <c:ptCount val="1"/>
                <c:pt idx="0">
                  <c:v>Anemijos (Vilniaus r.)</c:v>
                </c:pt>
              </c:strCache>
            </c:strRef>
          </c:tx>
          <c:spPr>
            <a:ln>
              <a:solidFill>
                <a:schemeClr val="accent6"/>
              </a:solidFill>
            </a:ln>
          </c:spPr>
          <c:marker>
            <c:symbol val="none"/>
          </c:marker>
          <c:cat>
            <c:numRef>
              <c:f>Sheet3!$C$397:$C$406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Sheet3!$F$397:$F$406</c:f>
              <c:numCache>
                <c:formatCode>0.0</c:formatCode>
                <c:ptCount val="10"/>
                <c:pt idx="0">
                  <c:v>6.7099000000000002</c:v>
                </c:pt>
                <c:pt idx="1">
                  <c:v>7.3900999999999986</c:v>
                </c:pt>
                <c:pt idx="2">
                  <c:v>6.7997000000000014</c:v>
                </c:pt>
                <c:pt idx="3">
                  <c:v>7.8418999999999999</c:v>
                </c:pt>
                <c:pt idx="4">
                  <c:v>8.2646000000000015</c:v>
                </c:pt>
                <c:pt idx="5">
                  <c:v>10.0334</c:v>
                </c:pt>
                <c:pt idx="6">
                  <c:v>7.4083000000000014</c:v>
                </c:pt>
                <c:pt idx="7">
                  <c:v>7.0074999999999985</c:v>
                </c:pt>
                <c:pt idx="8">
                  <c:v>6.3956999999999997</c:v>
                </c:pt>
                <c:pt idx="9">
                  <c:v>6.3818999999999999</c:v>
                </c:pt>
              </c:numCache>
            </c:numRef>
          </c:val>
        </c:ser>
        <c:ser>
          <c:idx val="3"/>
          <c:order val="3"/>
          <c:tx>
            <c:strRef>
              <c:f>Sheet3!$G$395:$G$396</c:f>
              <c:strCache>
                <c:ptCount val="1"/>
                <c:pt idx="0">
                  <c:v>Anemijos (Lietuva)</c:v>
                </c:pt>
              </c:strCache>
            </c:strRef>
          </c:tx>
          <c:spPr>
            <a:ln>
              <a:solidFill>
                <a:srgbClr val="F79646"/>
              </a:solidFill>
              <a:prstDash val="sysDash"/>
            </a:ln>
          </c:spPr>
          <c:marker>
            <c:symbol val="none"/>
          </c:marker>
          <c:cat>
            <c:numRef>
              <c:f>Sheet3!$C$397:$C$406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Sheet3!$G$397:$G$406</c:f>
              <c:numCache>
                <c:formatCode>0.0</c:formatCode>
                <c:ptCount val="10"/>
                <c:pt idx="0">
                  <c:v>7.0842000000000001</c:v>
                </c:pt>
                <c:pt idx="1">
                  <c:v>8.0226000000000006</c:v>
                </c:pt>
                <c:pt idx="2">
                  <c:v>7.7247999999999966</c:v>
                </c:pt>
                <c:pt idx="3">
                  <c:v>7.7924999999999995</c:v>
                </c:pt>
                <c:pt idx="4">
                  <c:v>7.8914999999999997</c:v>
                </c:pt>
                <c:pt idx="5">
                  <c:v>7.9394000000000124</c:v>
                </c:pt>
                <c:pt idx="6">
                  <c:v>7.6572999999999976</c:v>
                </c:pt>
                <c:pt idx="7">
                  <c:v>8.1254000000000008</c:v>
                </c:pt>
                <c:pt idx="8">
                  <c:v>8.5867000000000004</c:v>
                </c:pt>
                <c:pt idx="9">
                  <c:v>9.3625000000000824</c:v>
                </c:pt>
              </c:numCache>
            </c:numRef>
          </c:val>
        </c:ser>
        <c:marker val="1"/>
        <c:axId val="37978496"/>
        <c:axId val="37980032"/>
      </c:lineChart>
      <c:catAx>
        <c:axId val="37978496"/>
        <c:scaling>
          <c:orientation val="minMax"/>
        </c:scaling>
        <c:axPos val="b"/>
        <c:numFmt formatCode="General" sourceLinked="1"/>
        <c:majorTickMark val="none"/>
        <c:tickLblPos val="nextTo"/>
        <c:crossAx val="37980032"/>
        <c:crosses val="autoZero"/>
        <c:auto val="1"/>
        <c:lblAlgn val="ctr"/>
        <c:lblOffset val="100"/>
      </c:catAx>
      <c:valAx>
        <c:axId val="37980032"/>
        <c:scaling>
          <c:orientation val="minMax"/>
          <c:min val="4"/>
        </c:scaling>
        <c:axPos val="l"/>
        <c:majorGridlines/>
        <c:title>
          <c:tx>
            <c:rich>
              <a:bodyPr/>
              <a:lstStyle/>
              <a:p>
                <a:pPr>
                  <a:defRPr/>
                </a:pPr>
                <a:r>
                  <a:rPr lang="lt-LT"/>
                  <a:t>Rodiklis 1000 gyv.</a:t>
                </a:r>
              </a:p>
            </c:rich>
          </c:tx>
          <c:layout>
            <c:manualLayout>
              <c:xMode val="edge"/>
              <c:yMode val="edge"/>
              <c:x val="9.8765432098766676E-2"/>
              <c:y val="0.14531277340332471"/>
            </c:manualLayout>
          </c:layout>
        </c:title>
        <c:numFmt formatCode="0.0" sourceLinked="1"/>
        <c:majorTickMark val="none"/>
        <c:tickLblPos val="nextTo"/>
        <c:crossAx val="37978496"/>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date1904 val="1"/>
  <c:lang val="lt-LT"/>
  <c:chart>
    <c:view3D>
      <c:rAngAx val="1"/>
    </c:view3D>
    <c:plotArea>
      <c:layout/>
      <c:bar3DChart>
        <c:barDir val="bar"/>
        <c:grouping val="clustered"/>
        <c:ser>
          <c:idx val="0"/>
          <c:order val="0"/>
          <c:tx>
            <c:strRef>
              <c:f>'Vaiku sergamumo struktura'!$B$3</c:f>
              <c:strCache>
                <c:ptCount val="1"/>
                <c:pt idx="0">
                  <c:v>15 - 17 m.</c:v>
                </c:pt>
              </c:strCache>
            </c:strRef>
          </c:tx>
          <c:dLbls>
            <c:dLbl>
              <c:idx val="2"/>
              <c:spPr/>
              <c:txPr>
                <a:bodyPr/>
                <a:lstStyle/>
                <a:p>
                  <a:pPr>
                    <a:defRPr sz="800" b="1"/>
                  </a:pPr>
                  <a:endParaRPr lang="lt-LT"/>
                </a:p>
              </c:txPr>
            </c:dLbl>
            <c:dLbl>
              <c:idx val="3"/>
              <c:spPr/>
              <c:txPr>
                <a:bodyPr/>
                <a:lstStyle/>
                <a:p>
                  <a:pPr>
                    <a:defRPr sz="800" b="1"/>
                  </a:pPr>
                  <a:endParaRPr lang="lt-LT"/>
                </a:p>
              </c:txPr>
            </c:dLbl>
            <c:dLbl>
              <c:idx val="4"/>
              <c:spPr/>
              <c:txPr>
                <a:bodyPr/>
                <a:lstStyle/>
                <a:p>
                  <a:pPr>
                    <a:defRPr sz="800" b="1"/>
                  </a:pPr>
                  <a:endParaRPr lang="lt-LT"/>
                </a:p>
              </c:txPr>
            </c:dLbl>
            <c:dLbl>
              <c:idx val="5"/>
              <c:spPr/>
              <c:txPr>
                <a:bodyPr/>
                <a:lstStyle/>
                <a:p>
                  <a:pPr>
                    <a:defRPr sz="800" b="1"/>
                  </a:pPr>
                  <a:endParaRPr lang="lt-LT"/>
                </a:p>
              </c:txPr>
            </c:dLbl>
            <c:txPr>
              <a:bodyPr/>
              <a:lstStyle/>
              <a:p>
                <a:pPr>
                  <a:defRPr sz="800"/>
                </a:pPr>
                <a:endParaRPr lang="lt-LT"/>
              </a:p>
            </c:txPr>
            <c:showVal val="1"/>
          </c:dLbls>
          <c:cat>
            <c:strRef>
              <c:f>'Vaiku sergamumo struktura'!$C$2:$H$2</c:f>
              <c:strCache>
                <c:ptCount val="6"/>
                <c:pt idx="0">
                  <c:v>kalbos sutrikimai</c:v>
                </c:pt>
                <c:pt idx="1">
                  <c:v>nenormali laikysena</c:v>
                </c:pt>
                <c:pt idx="2">
                  <c:v>deformuojančios dorsopatijos</c:v>
                </c:pt>
                <c:pt idx="3">
                  <c:v>skoliozė</c:v>
                </c:pt>
                <c:pt idx="4">
                  <c:v>klausos defektai</c:v>
                </c:pt>
                <c:pt idx="5">
                  <c:v>regėjimo sutrikimai</c:v>
                </c:pt>
              </c:strCache>
            </c:strRef>
          </c:cat>
          <c:val>
            <c:numRef>
              <c:f>'Vaiku sergamumo struktura'!$C$3:$H$3</c:f>
              <c:numCache>
                <c:formatCode>General</c:formatCode>
                <c:ptCount val="6"/>
                <c:pt idx="0">
                  <c:v>0</c:v>
                </c:pt>
                <c:pt idx="1">
                  <c:v>0.9</c:v>
                </c:pt>
                <c:pt idx="2">
                  <c:v>5.3</c:v>
                </c:pt>
                <c:pt idx="3">
                  <c:v>1.9000000000000001</c:v>
                </c:pt>
                <c:pt idx="4">
                  <c:v>0.30000000000000032</c:v>
                </c:pt>
                <c:pt idx="5">
                  <c:v>13.2</c:v>
                </c:pt>
              </c:numCache>
            </c:numRef>
          </c:val>
        </c:ser>
        <c:ser>
          <c:idx val="1"/>
          <c:order val="1"/>
          <c:tx>
            <c:strRef>
              <c:f>'Vaiku sergamumo struktura'!$B$4</c:f>
              <c:strCache>
                <c:ptCount val="1"/>
                <c:pt idx="0">
                  <c:v>7 - 14 m. </c:v>
                </c:pt>
              </c:strCache>
            </c:strRef>
          </c:tx>
          <c:dLbls>
            <c:dLbl>
              <c:idx val="0"/>
              <c:spPr/>
              <c:txPr>
                <a:bodyPr/>
                <a:lstStyle/>
                <a:p>
                  <a:pPr>
                    <a:defRPr sz="800" b="1"/>
                  </a:pPr>
                  <a:endParaRPr lang="lt-LT"/>
                </a:p>
              </c:txPr>
            </c:dLbl>
            <c:dLbl>
              <c:idx val="1"/>
              <c:spPr/>
              <c:txPr>
                <a:bodyPr/>
                <a:lstStyle/>
                <a:p>
                  <a:pPr>
                    <a:defRPr sz="800" b="1"/>
                  </a:pPr>
                  <a:endParaRPr lang="lt-LT"/>
                </a:p>
              </c:txPr>
            </c:dLbl>
            <c:dLbl>
              <c:idx val="4"/>
              <c:spPr/>
              <c:txPr>
                <a:bodyPr/>
                <a:lstStyle/>
                <a:p>
                  <a:pPr>
                    <a:defRPr sz="800" b="1"/>
                  </a:pPr>
                  <a:endParaRPr lang="lt-LT"/>
                </a:p>
              </c:txPr>
            </c:dLbl>
            <c:txPr>
              <a:bodyPr/>
              <a:lstStyle/>
              <a:p>
                <a:pPr>
                  <a:defRPr sz="800"/>
                </a:pPr>
                <a:endParaRPr lang="lt-LT"/>
              </a:p>
            </c:txPr>
            <c:showVal val="1"/>
          </c:dLbls>
          <c:cat>
            <c:strRef>
              <c:f>'Vaiku sergamumo struktura'!$C$2:$H$2</c:f>
              <c:strCache>
                <c:ptCount val="6"/>
                <c:pt idx="0">
                  <c:v>kalbos sutrikimai</c:v>
                </c:pt>
                <c:pt idx="1">
                  <c:v>nenormali laikysena</c:v>
                </c:pt>
                <c:pt idx="2">
                  <c:v>deformuojančios dorsopatijos</c:v>
                </c:pt>
                <c:pt idx="3">
                  <c:v>skoliozė</c:v>
                </c:pt>
                <c:pt idx="4">
                  <c:v>klausos defektai</c:v>
                </c:pt>
                <c:pt idx="5">
                  <c:v>regėjimo sutrikimai</c:v>
                </c:pt>
              </c:strCache>
            </c:strRef>
          </c:cat>
          <c:val>
            <c:numRef>
              <c:f>'Vaiku sergamumo struktura'!$C$4:$H$4</c:f>
              <c:numCache>
                <c:formatCode>General</c:formatCode>
                <c:ptCount val="6"/>
                <c:pt idx="0">
                  <c:v>0.30000000000000032</c:v>
                </c:pt>
                <c:pt idx="1">
                  <c:v>2</c:v>
                </c:pt>
                <c:pt idx="2">
                  <c:v>3.9</c:v>
                </c:pt>
                <c:pt idx="3">
                  <c:v>1.3</c:v>
                </c:pt>
                <c:pt idx="4">
                  <c:v>0.30000000000000032</c:v>
                </c:pt>
                <c:pt idx="5">
                  <c:v>12.2</c:v>
                </c:pt>
              </c:numCache>
            </c:numRef>
          </c:val>
        </c:ser>
        <c:ser>
          <c:idx val="2"/>
          <c:order val="2"/>
          <c:tx>
            <c:strRef>
              <c:f>'Vaiku sergamumo struktura'!$B$5</c:f>
              <c:strCache>
                <c:ptCount val="1"/>
                <c:pt idx="0">
                  <c:v>0 - 6 m.</c:v>
                </c:pt>
              </c:strCache>
            </c:strRef>
          </c:tx>
          <c:dLbls>
            <c:txPr>
              <a:bodyPr/>
              <a:lstStyle/>
              <a:p>
                <a:pPr>
                  <a:defRPr sz="800"/>
                </a:pPr>
                <a:endParaRPr lang="lt-LT"/>
              </a:p>
            </c:txPr>
            <c:showVal val="1"/>
          </c:dLbls>
          <c:cat>
            <c:strRef>
              <c:f>'Vaiku sergamumo struktura'!$C$2:$H$2</c:f>
              <c:strCache>
                <c:ptCount val="6"/>
                <c:pt idx="0">
                  <c:v>kalbos sutrikimai</c:v>
                </c:pt>
                <c:pt idx="1">
                  <c:v>nenormali laikysena</c:v>
                </c:pt>
                <c:pt idx="2">
                  <c:v>deformuojančios dorsopatijos</c:v>
                </c:pt>
                <c:pt idx="3">
                  <c:v>skoliozė</c:v>
                </c:pt>
                <c:pt idx="4">
                  <c:v>klausos defektai</c:v>
                </c:pt>
                <c:pt idx="5">
                  <c:v>regėjimo sutrikimai</c:v>
                </c:pt>
              </c:strCache>
            </c:strRef>
          </c:cat>
          <c:val>
            <c:numRef>
              <c:f>'Vaiku sergamumo struktura'!$C$5:$H$5</c:f>
              <c:numCache>
                <c:formatCode>General</c:formatCode>
                <c:ptCount val="6"/>
                <c:pt idx="0">
                  <c:v>0.2</c:v>
                </c:pt>
                <c:pt idx="1">
                  <c:v>0.30000000000000032</c:v>
                </c:pt>
                <c:pt idx="2">
                  <c:v>0.5</c:v>
                </c:pt>
                <c:pt idx="3">
                  <c:v>0.1</c:v>
                </c:pt>
                <c:pt idx="4">
                  <c:v>0.2</c:v>
                </c:pt>
                <c:pt idx="5">
                  <c:v>13</c:v>
                </c:pt>
              </c:numCache>
            </c:numRef>
          </c:val>
        </c:ser>
        <c:shape val="cylinder"/>
        <c:axId val="38028032"/>
        <c:axId val="38029568"/>
        <c:axId val="0"/>
      </c:bar3DChart>
      <c:catAx>
        <c:axId val="38028032"/>
        <c:scaling>
          <c:orientation val="minMax"/>
        </c:scaling>
        <c:axPos val="l"/>
        <c:tickLblPos val="nextTo"/>
        <c:crossAx val="38029568"/>
        <c:crosses val="autoZero"/>
        <c:auto val="1"/>
        <c:lblAlgn val="ctr"/>
        <c:lblOffset val="100"/>
      </c:catAx>
      <c:valAx>
        <c:axId val="38029568"/>
        <c:scaling>
          <c:orientation val="minMax"/>
        </c:scaling>
        <c:axPos val="b"/>
        <c:majorGridlines/>
        <c:numFmt formatCode="General" sourceLinked="1"/>
        <c:tickLblPos val="nextTo"/>
        <c:crossAx val="38028032"/>
        <c:crosses val="autoZero"/>
        <c:crossBetween val="between"/>
      </c:valAx>
    </c:plotArea>
    <c:legend>
      <c:legendPos val="b"/>
    </c:legend>
    <c:plotVisOnly val="1"/>
  </c:chart>
  <c:txPr>
    <a:bodyPr/>
    <a:lstStyle/>
    <a:p>
      <a:pPr>
        <a:defRPr>
          <a:latin typeface="Times New Roman" pitchFamily="18" charset="0"/>
          <a:cs typeface="Times New Roman" pitchFamily="18" charset="0"/>
        </a:defRPr>
      </a:pPr>
      <a:endParaRPr lang="lt-LT"/>
    </a:p>
  </c:txPr>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date1904 val="1"/>
  <c:lang val="lt-LT"/>
  <c:style val="8"/>
  <c:chart>
    <c:plotArea>
      <c:layout/>
      <c:barChart>
        <c:barDir val="bar"/>
        <c:grouping val="clustered"/>
        <c:ser>
          <c:idx val="0"/>
          <c:order val="0"/>
          <c:cat>
            <c:multiLvlStrRef>
              <c:f>'2011 RAJ'!$D$10:$E$39</c:f>
              <c:multiLvlStrCache>
                <c:ptCount val="30"/>
                <c:lvl>
                  <c:pt idx="0">
                    <c:v>2011.06.27</c:v>
                  </c:pt>
                  <c:pt idx="1">
                    <c:v>2011.07.05</c:v>
                  </c:pt>
                  <c:pt idx="2">
                    <c:v>2011.07.19</c:v>
                  </c:pt>
                  <c:pt idx="3">
                    <c:v>2011.08.01</c:v>
                  </c:pt>
                  <c:pt idx="4">
                    <c:v>2011.08.18</c:v>
                  </c:pt>
                  <c:pt idx="5">
                    <c:v>2011.09.01</c:v>
                  </c:pt>
                  <c:pt idx="6">
                    <c:v>2011.06.20</c:v>
                  </c:pt>
                  <c:pt idx="7">
                    <c:v>2011.07.05</c:v>
                  </c:pt>
                  <c:pt idx="8">
                    <c:v>2011.07.19</c:v>
                  </c:pt>
                  <c:pt idx="9">
                    <c:v>2011.08.01</c:v>
                  </c:pt>
                  <c:pt idx="10">
                    <c:v>2011.08.18</c:v>
                  </c:pt>
                  <c:pt idx="11">
                    <c:v>2011.09.01</c:v>
                  </c:pt>
                  <c:pt idx="12">
                    <c:v>2011.06.20</c:v>
                  </c:pt>
                  <c:pt idx="13">
                    <c:v>2011.07.05</c:v>
                  </c:pt>
                  <c:pt idx="14">
                    <c:v>2011.07.19</c:v>
                  </c:pt>
                  <c:pt idx="15">
                    <c:v>2011.08.01</c:v>
                  </c:pt>
                  <c:pt idx="16">
                    <c:v>2011.08.18</c:v>
                  </c:pt>
                  <c:pt idx="17">
                    <c:v>2011.09.01</c:v>
                  </c:pt>
                  <c:pt idx="18">
                    <c:v>2011.06.23</c:v>
                  </c:pt>
                  <c:pt idx="19">
                    <c:v>2011.07.05</c:v>
                  </c:pt>
                  <c:pt idx="20">
                    <c:v>2011.07.19</c:v>
                  </c:pt>
                  <c:pt idx="21">
                    <c:v>2011.08.01</c:v>
                  </c:pt>
                  <c:pt idx="22">
                    <c:v>2011.08.18</c:v>
                  </c:pt>
                  <c:pt idx="23">
                    <c:v>2011.09.01</c:v>
                  </c:pt>
                  <c:pt idx="24">
                    <c:v>2011.06.22</c:v>
                  </c:pt>
                  <c:pt idx="25">
                    <c:v>2011.07.05</c:v>
                  </c:pt>
                  <c:pt idx="26">
                    <c:v>2011.07.19</c:v>
                  </c:pt>
                  <c:pt idx="27">
                    <c:v>2011.08.02</c:v>
                  </c:pt>
                  <c:pt idx="28">
                    <c:v>2011.08.18</c:v>
                  </c:pt>
                  <c:pt idx="29">
                    <c:v>2011.09.01</c:v>
                  </c:pt>
                </c:lvl>
                <c:lvl>
                  <c:pt idx="0">
                    <c:v>Gėlos ež.</c:v>
                  </c:pt>
                  <c:pt idx="6">
                    <c:v>Asvejos ež.</c:v>
                  </c:pt>
                  <c:pt idx="12">
                    <c:v>Vilnojos ež.</c:v>
                  </c:pt>
                  <c:pt idx="18">
                    <c:v>Ilgučių ež.</c:v>
                  </c:pt>
                  <c:pt idx="24">
                    <c:v>Prūdiškių tv.</c:v>
                  </c:pt>
                </c:lvl>
              </c:multiLvlStrCache>
            </c:multiLvlStrRef>
          </c:cat>
          <c:val>
            <c:numRef>
              <c:f>'2011 RAJ'!$F$10:$F$39</c:f>
              <c:numCache>
                <c:formatCode>General</c:formatCode>
                <c:ptCount val="30"/>
                <c:pt idx="0">
                  <c:v>6</c:v>
                </c:pt>
                <c:pt idx="1">
                  <c:v>0</c:v>
                </c:pt>
                <c:pt idx="2">
                  <c:v>7</c:v>
                </c:pt>
                <c:pt idx="3">
                  <c:v>76</c:v>
                </c:pt>
                <c:pt idx="4">
                  <c:v>6</c:v>
                </c:pt>
                <c:pt idx="5">
                  <c:v>13</c:v>
                </c:pt>
                <c:pt idx="6">
                  <c:v>1</c:v>
                </c:pt>
                <c:pt idx="7">
                  <c:v>0</c:v>
                </c:pt>
                <c:pt idx="8">
                  <c:v>3</c:v>
                </c:pt>
                <c:pt idx="9">
                  <c:v>4</c:v>
                </c:pt>
                <c:pt idx="10">
                  <c:v>10</c:v>
                </c:pt>
                <c:pt idx="11">
                  <c:v>1</c:v>
                </c:pt>
                <c:pt idx="12">
                  <c:v>32</c:v>
                </c:pt>
                <c:pt idx="13">
                  <c:v>0</c:v>
                </c:pt>
                <c:pt idx="14">
                  <c:v>2</c:v>
                </c:pt>
                <c:pt idx="15">
                  <c:v>52</c:v>
                </c:pt>
                <c:pt idx="16">
                  <c:v>10</c:v>
                </c:pt>
                <c:pt idx="17">
                  <c:v>1</c:v>
                </c:pt>
                <c:pt idx="18">
                  <c:v>2</c:v>
                </c:pt>
                <c:pt idx="19">
                  <c:v>7</c:v>
                </c:pt>
                <c:pt idx="20">
                  <c:v>86</c:v>
                </c:pt>
                <c:pt idx="21">
                  <c:v>11</c:v>
                </c:pt>
                <c:pt idx="22">
                  <c:v>45</c:v>
                </c:pt>
                <c:pt idx="23">
                  <c:v>2</c:v>
                </c:pt>
                <c:pt idx="24">
                  <c:v>11</c:v>
                </c:pt>
                <c:pt idx="25">
                  <c:v>0</c:v>
                </c:pt>
                <c:pt idx="26">
                  <c:v>17</c:v>
                </c:pt>
                <c:pt idx="27">
                  <c:v>3</c:v>
                </c:pt>
                <c:pt idx="28">
                  <c:v>7</c:v>
                </c:pt>
                <c:pt idx="29">
                  <c:v>2</c:v>
                </c:pt>
              </c:numCache>
            </c:numRef>
          </c:val>
        </c:ser>
        <c:axId val="38045184"/>
        <c:axId val="38046720"/>
      </c:barChart>
      <c:catAx>
        <c:axId val="38045184"/>
        <c:scaling>
          <c:orientation val="minMax"/>
        </c:scaling>
        <c:axPos val="l"/>
        <c:tickLblPos val="nextTo"/>
        <c:txPr>
          <a:bodyPr/>
          <a:lstStyle/>
          <a:p>
            <a:pPr>
              <a:defRPr lang="en-US"/>
            </a:pPr>
            <a:endParaRPr lang="lt-LT"/>
          </a:p>
        </c:txPr>
        <c:crossAx val="38046720"/>
        <c:crosses val="autoZero"/>
        <c:auto val="1"/>
        <c:lblAlgn val="ctr"/>
        <c:lblOffset val="100"/>
      </c:catAx>
      <c:valAx>
        <c:axId val="38046720"/>
        <c:scaling>
          <c:orientation val="minMax"/>
        </c:scaling>
        <c:axPos val="b"/>
        <c:majorGridlines/>
        <c:title>
          <c:tx>
            <c:rich>
              <a:bodyPr/>
              <a:lstStyle/>
              <a:p>
                <a:pPr>
                  <a:defRPr lang="en-US"/>
                </a:pPr>
                <a:r>
                  <a:rPr lang="lt-LT"/>
                  <a:t>Kolonijas sudarančių vienetų skaičius</a:t>
                </a:r>
                <a:endParaRPr lang="en-US"/>
              </a:p>
            </c:rich>
          </c:tx>
          <c:layout>
            <c:manualLayout>
              <c:xMode val="edge"/>
              <c:yMode val="edge"/>
              <c:x val="6.8911060384552886E-2"/>
              <c:y val="0.94017114299068782"/>
            </c:manualLayout>
          </c:layout>
        </c:title>
        <c:numFmt formatCode="General" sourceLinked="1"/>
        <c:tickLblPos val="nextTo"/>
        <c:txPr>
          <a:bodyPr/>
          <a:lstStyle/>
          <a:p>
            <a:pPr>
              <a:defRPr lang="en-US"/>
            </a:pPr>
            <a:endParaRPr lang="lt-LT"/>
          </a:p>
        </c:txPr>
        <c:crossAx val="38045184"/>
        <c:crosses val="autoZero"/>
        <c:crossBetween val="between"/>
      </c:valAx>
    </c:plotArea>
    <c:plotVisOnly val="1"/>
    <c:dispBlanksAs val="gap"/>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date1904 val="1"/>
  <c:lang val="lt-LT"/>
  <c:style val="5"/>
  <c:chart>
    <c:plotArea>
      <c:layout/>
      <c:barChart>
        <c:barDir val="bar"/>
        <c:grouping val="clustered"/>
        <c:ser>
          <c:idx val="0"/>
          <c:order val="0"/>
          <c:cat>
            <c:multiLvlStrRef>
              <c:f>'2011 RAJ'!$D$10:$E$39</c:f>
              <c:multiLvlStrCache>
                <c:ptCount val="30"/>
                <c:lvl>
                  <c:pt idx="0">
                    <c:v>2011.06.27</c:v>
                  </c:pt>
                  <c:pt idx="1">
                    <c:v>2011.07.05</c:v>
                  </c:pt>
                  <c:pt idx="2">
                    <c:v>2011.07.19</c:v>
                  </c:pt>
                  <c:pt idx="3">
                    <c:v>2011.08.01</c:v>
                  </c:pt>
                  <c:pt idx="4">
                    <c:v>2011.08.18</c:v>
                  </c:pt>
                  <c:pt idx="5">
                    <c:v>2011.09.01</c:v>
                  </c:pt>
                  <c:pt idx="6">
                    <c:v>2011.06.20</c:v>
                  </c:pt>
                  <c:pt idx="7">
                    <c:v>2011.07.05</c:v>
                  </c:pt>
                  <c:pt idx="8">
                    <c:v>2011.07.19</c:v>
                  </c:pt>
                  <c:pt idx="9">
                    <c:v>2011.08.01</c:v>
                  </c:pt>
                  <c:pt idx="10">
                    <c:v>2011.08.18</c:v>
                  </c:pt>
                  <c:pt idx="11">
                    <c:v>2011.09.01</c:v>
                  </c:pt>
                  <c:pt idx="12">
                    <c:v>2011.06.20</c:v>
                  </c:pt>
                  <c:pt idx="13">
                    <c:v>2011.07.05</c:v>
                  </c:pt>
                  <c:pt idx="14">
                    <c:v>2011.07.19</c:v>
                  </c:pt>
                  <c:pt idx="15">
                    <c:v>2011.08.01</c:v>
                  </c:pt>
                  <c:pt idx="16">
                    <c:v>2011.08.18</c:v>
                  </c:pt>
                  <c:pt idx="17">
                    <c:v>2011.09.01</c:v>
                  </c:pt>
                  <c:pt idx="18">
                    <c:v>2011.06.23</c:v>
                  </c:pt>
                  <c:pt idx="19">
                    <c:v>2011.07.05</c:v>
                  </c:pt>
                  <c:pt idx="20">
                    <c:v>2011.07.19</c:v>
                  </c:pt>
                  <c:pt idx="21">
                    <c:v>2011.08.01</c:v>
                  </c:pt>
                  <c:pt idx="22">
                    <c:v>2011.08.18</c:v>
                  </c:pt>
                  <c:pt idx="23">
                    <c:v>2011.09.01</c:v>
                  </c:pt>
                  <c:pt idx="24">
                    <c:v>2011.06.22</c:v>
                  </c:pt>
                  <c:pt idx="25">
                    <c:v>2011.07.05</c:v>
                  </c:pt>
                  <c:pt idx="26">
                    <c:v>2011.07.19</c:v>
                  </c:pt>
                  <c:pt idx="27">
                    <c:v>2011.08.02</c:v>
                  </c:pt>
                  <c:pt idx="28">
                    <c:v>2011.08.18</c:v>
                  </c:pt>
                  <c:pt idx="29">
                    <c:v>2011.09.01</c:v>
                  </c:pt>
                </c:lvl>
                <c:lvl>
                  <c:pt idx="0">
                    <c:v>Gėlos ež.</c:v>
                  </c:pt>
                  <c:pt idx="6">
                    <c:v>Asvejos ež.</c:v>
                  </c:pt>
                  <c:pt idx="12">
                    <c:v>Vilnojos ež.</c:v>
                  </c:pt>
                  <c:pt idx="18">
                    <c:v>Ilgučių ež.</c:v>
                  </c:pt>
                  <c:pt idx="24">
                    <c:v>Prūdiškių tv.</c:v>
                  </c:pt>
                </c:lvl>
              </c:multiLvlStrCache>
            </c:multiLvlStrRef>
          </c:cat>
          <c:val>
            <c:numRef>
              <c:f>'2011 RAJ'!$H$10:$H$39</c:f>
              <c:numCache>
                <c:formatCode>General</c:formatCode>
                <c:ptCount val="30"/>
                <c:pt idx="0">
                  <c:v>33</c:v>
                </c:pt>
                <c:pt idx="1">
                  <c:v>1</c:v>
                </c:pt>
                <c:pt idx="2">
                  <c:v>6</c:v>
                </c:pt>
                <c:pt idx="3">
                  <c:v>15</c:v>
                </c:pt>
                <c:pt idx="4">
                  <c:v>10</c:v>
                </c:pt>
                <c:pt idx="5">
                  <c:v>1</c:v>
                </c:pt>
                <c:pt idx="6">
                  <c:v>2</c:v>
                </c:pt>
                <c:pt idx="7">
                  <c:v>7</c:v>
                </c:pt>
                <c:pt idx="8">
                  <c:v>11</c:v>
                </c:pt>
                <c:pt idx="9">
                  <c:v>5</c:v>
                </c:pt>
                <c:pt idx="10">
                  <c:v>12</c:v>
                </c:pt>
                <c:pt idx="11">
                  <c:v>0</c:v>
                </c:pt>
                <c:pt idx="12">
                  <c:v>57</c:v>
                </c:pt>
                <c:pt idx="13">
                  <c:v>9</c:v>
                </c:pt>
                <c:pt idx="14">
                  <c:v>4</c:v>
                </c:pt>
                <c:pt idx="15">
                  <c:v>9</c:v>
                </c:pt>
                <c:pt idx="16">
                  <c:v>11</c:v>
                </c:pt>
                <c:pt idx="17">
                  <c:v>7</c:v>
                </c:pt>
                <c:pt idx="18">
                  <c:v>8</c:v>
                </c:pt>
                <c:pt idx="19">
                  <c:v>19</c:v>
                </c:pt>
                <c:pt idx="20">
                  <c:v>73</c:v>
                </c:pt>
                <c:pt idx="21">
                  <c:v>16</c:v>
                </c:pt>
                <c:pt idx="22">
                  <c:v>35</c:v>
                </c:pt>
                <c:pt idx="23">
                  <c:v>29</c:v>
                </c:pt>
                <c:pt idx="24">
                  <c:v>14</c:v>
                </c:pt>
                <c:pt idx="25">
                  <c:v>8</c:v>
                </c:pt>
                <c:pt idx="26">
                  <c:v>41</c:v>
                </c:pt>
                <c:pt idx="27">
                  <c:v>3</c:v>
                </c:pt>
                <c:pt idx="28">
                  <c:v>5</c:v>
                </c:pt>
                <c:pt idx="29">
                  <c:v>50</c:v>
                </c:pt>
              </c:numCache>
            </c:numRef>
          </c:val>
        </c:ser>
        <c:axId val="38103296"/>
        <c:axId val="38105088"/>
      </c:barChart>
      <c:catAx>
        <c:axId val="38103296"/>
        <c:scaling>
          <c:orientation val="minMax"/>
        </c:scaling>
        <c:axPos val="l"/>
        <c:tickLblPos val="nextTo"/>
        <c:txPr>
          <a:bodyPr/>
          <a:lstStyle/>
          <a:p>
            <a:pPr>
              <a:defRPr lang="en-US"/>
            </a:pPr>
            <a:endParaRPr lang="lt-LT"/>
          </a:p>
        </c:txPr>
        <c:crossAx val="38105088"/>
        <c:crosses val="autoZero"/>
        <c:auto val="1"/>
        <c:lblAlgn val="ctr"/>
        <c:lblOffset val="100"/>
      </c:catAx>
      <c:valAx>
        <c:axId val="38105088"/>
        <c:scaling>
          <c:orientation val="minMax"/>
        </c:scaling>
        <c:axPos val="b"/>
        <c:majorGridlines/>
        <c:title>
          <c:tx>
            <c:rich>
              <a:bodyPr/>
              <a:lstStyle/>
              <a:p>
                <a:pPr>
                  <a:defRPr lang="en-US"/>
                </a:pPr>
                <a:r>
                  <a:rPr lang="lt-LT"/>
                  <a:t>Kolonijas sudarančių vienetų skaičius</a:t>
                </a:r>
                <a:endParaRPr lang="en-US"/>
              </a:p>
            </c:rich>
          </c:tx>
          <c:layout>
            <c:manualLayout>
              <c:xMode val="edge"/>
              <c:yMode val="edge"/>
              <c:x val="0.16030699610824511"/>
              <c:y val="0.94006852059444568"/>
            </c:manualLayout>
          </c:layout>
        </c:title>
        <c:numFmt formatCode="General" sourceLinked="1"/>
        <c:tickLblPos val="nextTo"/>
        <c:txPr>
          <a:bodyPr/>
          <a:lstStyle/>
          <a:p>
            <a:pPr>
              <a:defRPr lang="en-US"/>
            </a:pPr>
            <a:endParaRPr lang="lt-LT"/>
          </a:p>
        </c:txPr>
        <c:crossAx val="38103296"/>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'2010'!$BC$7</c:f>
              <c:strCache>
                <c:ptCount val="1"/>
                <c:pt idx="0">
                  <c:v>VILNIAUS RAJONAS</c:v>
                </c:pt>
              </c:strCache>
            </c:strRef>
          </c:tx>
          <c:spPr>
            <a:ln>
              <a:solidFill>
                <a:srgbClr val="FF5050"/>
              </a:solidFill>
            </a:ln>
          </c:spPr>
          <c:marker>
            <c:symbol val="none"/>
          </c:marker>
          <c:cat>
            <c:numRef>
              <c:f>'2010'!$BA$8:$BA$17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'2010'!$BC$8:$BC$17</c:f>
              <c:numCache>
                <c:formatCode>General</c:formatCode>
                <c:ptCount val="10"/>
                <c:pt idx="0">
                  <c:v>-3.8</c:v>
                </c:pt>
                <c:pt idx="1">
                  <c:v>-3.4</c:v>
                </c:pt>
                <c:pt idx="2">
                  <c:v>-3.2</c:v>
                </c:pt>
                <c:pt idx="3">
                  <c:v>-2.6</c:v>
                </c:pt>
                <c:pt idx="4">
                  <c:v>-2.9099999999999997</c:v>
                </c:pt>
                <c:pt idx="5">
                  <c:v>-3.7</c:v>
                </c:pt>
                <c:pt idx="6">
                  <c:v>-2.7</c:v>
                </c:pt>
                <c:pt idx="7">
                  <c:v>-2.9299999999999997</c:v>
                </c:pt>
                <c:pt idx="8">
                  <c:v>0.2</c:v>
                </c:pt>
                <c:pt idx="9">
                  <c:v>-0.1</c:v>
                </c:pt>
              </c:numCache>
            </c:numRef>
          </c:val>
        </c:ser>
        <c:ser>
          <c:idx val="1"/>
          <c:order val="1"/>
          <c:tx>
            <c:strRef>
              <c:f>'2010'!$BG$7</c:f>
              <c:strCache>
                <c:ptCount val="1"/>
                <c:pt idx="0">
                  <c:v>LIETUVA</c:v>
                </c:pt>
              </c:strCache>
            </c:strRef>
          </c:tx>
          <c:spPr>
            <a:ln>
              <a:solidFill>
                <a:schemeClr val="accent3">
                  <a:lumMod val="75000"/>
                </a:schemeClr>
              </a:solidFill>
            </a:ln>
          </c:spPr>
          <c:marker>
            <c:symbol val="none"/>
          </c:marker>
          <c:cat>
            <c:numRef>
              <c:f>'2010'!$BA$8:$BA$17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'2010'!$BG$8:$BG$17</c:f>
              <c:numCache>
                <c:formatCode>General</c:formatCode>
                <c:ptCount val="10"/>
                <c:pt idx="0">
                  <c:v>-2.5</c:v>
                </c:pt>
                <c:pt idx="1">
                  <c:v>-3.2</c:v>
                </c:pt>
                <c:pt idx="2">
                  <c:v>-3</c:v>
                </c:pt>
                <c:pt idx="3">
                  <c:v>-3.2</c:v>
                </c:pt>
                <c:pt idx="4">
                  <c:v>-3.88</c:v>
                </c:pt>
                <c:pt idx="5">
                  <c:v>-4</c:v>
                </c:pt>
                <c:pt idx="6">
                  <c:v>-3.9</c:v>
                </c:pt>
                <c:pt idx="7">
                  <c:v>-2.6</c:v>
                </c:pt>
                <c:pt idx="8">
                  <c:v>-1.6</c:v>
                </c:pt>
                <c:pt idx="9">
                  <c:v>-2</c:v>
                </c:pt>
              </c:numCache>
            </c:numRef>
          </c:val>
        </c:ser>
        <c:marker val="1"/>
        <c:axId val="79870592"/>
        <c:axId val="79880576"/>
      </c:lineChart>
      <c:catAx>
        <c:axId val="79870592"/>
        <c:scaling>
          <c:orientation val="minMax"/>
        </c:scaling>
        <c:axPos val="b"/>
        <c:numFmt formatCode="General" sourceLinked="1"/>
        <c:tickLblPos val="nextTo"/>
        <c:txPr>
          <a:bodyPr/>
          <a:lstStyle/>
          <a:p>
            <a:pPr>
              <a:defRPr lang="en-US"/>
            </a:pPr>
            <a:endParaRPr lang="lt-LT"/>
          </a:p>
        </c:txPr>
        <c:crossAx val="79880576"/>
        <c:crosses val="autoZero"/>
        <c:auto val="1"/>
        <c:lblAlgn val="ctr"/>
        <c:lblOffset val="100"/>
      </c:catAx>
      <c:valAx>
        <c:axId val="79880576"/>
        <c:scaling>
          <c:orientation val="minMax"/>
        </c:scaling>
        <c:axPos val="l"/>
        <c:majorGridlines/>
        <c:numFmt formatCode="General" sourceLinked="1"/>
        <c:tickLblPos val="nextTo"/>
        <c:txPr>
          <a:bodyPr/>
          <a:lstStyle/>
          <a:p>
            <a:pPr>
              <a:defRPr lang="en-US"/>
            </a:pPr>
            <a:endParaRPr lang="lt-LT"/>
          </a:p>
        </c:txPr>
        <c:crossAx val="79870592"/>
        <c:crosses val="autoZero"/>
        <c:crossBetween val="between"/>
      </c:valAx>
      <c:dTable>
        <c:showHorzBorder val="1"/>
        <c:showVertBorder val="1"/>
        <c:showOutline val="1"/>
        <c:showKeys val="1"/>
        <c:txPr>
          <a:bodyPr/>
          <a:lstStyle/>
          <a:p>
            <a:pPr rtl="0">
              <a:defRPr lang="en-US"/>
            </a:pPr>
            <a:endParaRPr lang="lt-LT"/>
          </a:p>
        </c:txPr>
      </c:dTable>
    </c:plotArea>
    <c:plotVisOnly val="1"/>
    <c:dispBlanksAs val="gap"/>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Sheet1!$B$4</c:f>
              <c:strCache>
                <c:ptCount val="1"/>
                <c:pt idx="0">
                  <c:v>Šalčininkų r.</c:v>
                </c:pt>
              </c:strCache>
            </c:strRef>
          </c:tx>
          <c:marker>
            <c:symbol val="none"/>
          </c:marker>
          <c:cat>
            <c:numRef>
              <c:f>Sheet1!$A$5:$A$14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Sheet1!$B$5:$B$14</c:f>
              <c:numCache>
                <c:formatCode>General</c:formatCode>
                <c:ptCount val="10"/>
                <c:pt idx="0">
                  <c:v>15.860000000000024</c:v>
                </c:pt>
                <c:pt idx="1">
                  <c:v>17.77</c:v>
                </c:pt>
                <c:pt idx="2">
                  <c:v>17.07</c:v>
                </c:pt>
                <c:pt idx="3">
                  <c:v>16.130000000000031</c:v>
                </c:pt>
                <c:pt idx="4">
                  <c:v>16.260000000000002</c:v>
                </c:pt>
                <c:pt idx="5">
                  <c:v>17.439999999999987</c:v>
                </c:pt>
                <c:pt idx="6">
                  <c:v>17.309999999999999</c:v>
                </c:pt>
                <c:pt idx="7">
                  <c:v>16.89</c:v>
                </c:pt>
                <c:pt idx="8">
                  <c:v>17.57</c:v>
                </c:pt>
                <c:pt idx="9">
                  <c:v>15.41</c:v>
                </c:pt>
              </c:numCache>
            </c:numRef>
          </c:val>
        </c:ser>
        <c:ser>
          <c:idx val="1"/>
          <c:order val="1"/>
          <c:tx>
            <c:strRef>
              <c:f>Sheet1!$C$4</c:f>
              <c:strCache>
                <c:ptCount val="1"/>
                <c:pt idx="0">
                  <c:v>Trakų r.</c:v>
                </c:pt>
              </c:strCache>
            </c:strRef>
          </c:tx>
          <c:marker>
            <c:symbol val="none"/>
          </c:marker>
          <c:cat>
            <c:numRef>
              <c:f>Sheet1!$A$5:$A$14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Sheet1!$C$5:$C$14</c:f>
              <c:numCache>
                <c:formatCode>General</c:formatCode>
                <c:ptCount val="10"/>
                <c:pt idx="0">
                  <c:v>30.610000000000031</c:v>
                </c:pt>
                <c:pt idx="1">
                  <c:v>25.05</c:v>
                </c:pt>
                <c:pt idx="2">
                  <c:v>23.43</c:v>
                </c:pt>
                <c:pt idx="3">
                  <c:v>22.97</c:v>
                </c:pt>
                <c:pt idx="4">
                  <c:v>23.37</c:v>
                </c:pt>
                <c:pt idx="5">
                  <c:v>21.959999999999987</c:v>
                </c:pt>
                <c:pt idx="6">
                  <c:v>23.25</c:v>
                </c:pt>
                <c:pt idx="7">
                  <c:v>21.67</c:v>
                </c:pt>
                <c:pt idx="8">
                  <c:v>21.01</c:v>
                </c:pt>
                <c:pt idx="9">
                  <c:v>19.899999999999999</c:v>
                </c:pt>
              </c:numCache>
            </c:numRef>
          </c:val>
        </c:ser>
        <c:ser>
          <c:idx val="2"/>
          <c:order val="2"/>
          <c:tx>
            <c:strRef>
              <c:f>Sheet1!$D$4</c:f>
              <c:strCache>
                <c:ptCount val="1"/>
                <c:pt idx="0">
                  <c:v>Vilniaus r.</c:v>
                </c:pt>
              </c:strCache>
            </c:strRef>
          </c:tx>
          <c:marker>
            <c:symbol val="none"/>
          </c:marker>
          <c:cat>
            <c:numRef>
              <c:f>Sheet1!$A$5:$A$14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Sheet1!$D$5:$D$14</c:f>
              <c:numCache>
                <c:formatCode>General</c:formatCode>
                <c:ptCount val="10"/>
                <c:pt idx="0">
                  <c:v>14.52</c:v>
                </c:pt>
                <c:pt idx="1">
                  <c:v>13.63</c:v>
                </c:pt>
                <c:pt idx="2">
                  <c:v>12.91</c:v>
                </c:pt>
                <c:pt idx="3">
                  <c:v>13.05</c:v>
                </c:pt>
                <c:pt idx="4">
                  <c:v>12.71</c:v>
                </c:pt>
                <c:pt idx="5">
                  <c:v>12.850000000000026</c:v>
                </c:pt>
                <c:pt idx="6">
                  <c:v>12.83</c:v>
                </c:pt>
                <c:pt idx="7">
                  <c:v>12.79</c:v>
                </c:pt>
                <c:pt idx="8">
                  <c:v>11.71</c:v>
                </c:pt>
                <c:pt idx="9">
                  <c:v>12.4</c:v>
                </c:pt>
              </c:numCache>
            </c:numRef>
          </c:val>
        </c:ser>
        <c:ser>
          <c:idx val="3"/>
          <c:order val="3"/>
          <c:tx>
            <c:strRef>
              <c:f>Sheet1!$E$4</c:f>
              <c:strCache>
                <c:ptCount val="1"/>
                <c:pt idx="0">
                  <c:v>Lietuva</c:v>
                </c:pt>
              </c:strCache>
            </c:strRef>
          </c:tx>
          <c:marker>
            <c:symbol val="none"/>
          </c:marker>
          <c:cat>
            <c:numRef>
              <c:f>Sheet1!$A$5:$A$14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Sheet1!$E$5:$E$14</c:f>
              <c:numCache>
                <c:formatCode>General</c:formatCode>
                <c:ptCount val="10"/>
                <c:pt idx="0">
                  <c:v>40.370000000000005</c:v>
                </c:pt>
                <c:pt idx="1">
                  <c:v>40.020000000000003</c:v>
                </c:pt>
                <c:pt idx="2">
                  <c:v>39.71</c:v>
                </c:pt>
                <c:pt idx="3">
                  <c:v>39.11</c:v>
                </c:pt>
                <c:pt idx="4">
                  <c:v>40.11</c:v>
                </c:pt>
                <c:pt idx="5">
                  <c:v>39.910000000000004</c:v>
                </c:pt>
                <c:pt idx="6">
                  <c:v>40.78</c:v>
                </c:pt>
                <c:pt idx="7">
                  <c:v>40.01</c:v>
                </c:pt>
                <c:pt idx="8">
                  <c:v>39.74</c:v>
                </c:pt>
                <c:pt idx="9">
                  <c:v>40.690000000000012</c:v>
                </c:pt>
              </c:numCache>
            </c:numRef>
          </c:val>
        </c:ser>
        <c:marker val="1"/>
        <c:axId val="38131200"/>
        <c:axId val="38132736"/>
      </c:lineChart>
      <c:catAx>
        <c:axId val="38131200"/>
        <c:scaling>
          <c:orientation val="minMax"/>
        </c:scaling>
        <c:axPos val="b"/>
        <c:numFmt formatCode="General" sourceLinked="1"/>
        <c:majorTickMark val="none"/>
        <c:tickLblPos val="nextTo"/>
        <c:crossAx val="38132736"/>
        <c:crosses val="autoZero"/>
        <c:auto val="1"/>
        <c:lblAlgn val="ctr"/>
        <c:lblOffset val="100"/>
      </c:catAx>
      <c:valAx>
        <c:axId val="38132736"/>
        <c:scaling>
          <c:orientation val="minMax"/>
          <c:min val="10"/>
        </c:scaling>
        <c:axPos val="l"/>
        <c:majorGridlines/>
        <c:numFmt formatCode="General" sourceLinked="1"/>
        <c:majorTickMark val="none"/>
        <c:tickLblPos val="nextTo"/>
        <c:crossAx val="3813120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Sheet1!$B$46</c:f>
              <c:strCache>
                <c:ptCount val="1"/>
                <c:pt idx="0">
                  <c:v>Šalčininkų r.</c:v>
                </c:pt>
              </c:strCache>
            </c:strRef>
          </c:tx>
          <c:marker>
            <c:symbol val="none"/>
          </c:marker>
          <c:cat>
            <c:numRef>
              <c:f>Sheet1!$A$47:$A$56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Sheet1!$B$47:$B$56</c:f>
              <c:numCache>
                <c:formatCode>General</c:formatCode>
                <c:ptCount val="10"/>
                <c:pt idx="0">
                  <c:v>1.53</c:v>
                </c:pt>
                <c:pt idx="1">
                  <c:v>1.8</c:v>
                </c:pt>
                <c:pt idx="2">
                  <c:v>3.36</c:v>
                </c:pt>
                <c:pt idx="3">
                  <c:v>4.42</c:v>
                </c:pt>
                <c:pt idx="4">
                  <c:v>4.46</c:v>
                </c:pt>
                <c:pt idx="5">
                  <c:v>4.76</c:v>
                </c:pt>
                <c:pt idx="6">
                  <c:v>4.79</c:v>
                </c:pt>
                <c:pt idx="7">
                  <c:v>4.83</c:v>
                </c:pt>
                <c:pt idx="8">
                  <c:v>4.87</c:v>
                </c:pt>
                <c:pt idx="9">
                  <c:v>4.95</c:v>
                </c:pt>
              </c:numCache>
            </c:numRef>
          </c:val>
        </c:ser>
        <c:ser>
          <c:idx val="1"/>
          <c:order val="1"/>
          <c:tx>
            <c:strRef>
              <c:f>Sheet1!$C$46</c:f>
              <c:strCache>
                <c:ptCount val="1"/>
                <c:pt idx="0">
                  <c:v>Trakų r.</c:v>
                </c:pt>
              </c:strCache>
            </c:strRef>
          </c:tx>
          <c:marker>
            <c:symbol val="none"/>
          </c:marker>
          <c:cat>
            <c:numRef>
              <c:f>Sheet1!$A$47:$A$56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Sheet1!$C$47:$C$56</c:f>
              <c:numCache>
                <c:formatCode>General</c:formatCode>
                <c:ptCount val="10"/>
                <c:pt idx="0">
                  <c:v>2.15</c:v>
                </c:pt>
                <c:pt idx="1">
                  <c:v>1.62</c:v>
                </c:pt>
                <c:pt idx="2">
                  <c:v>2.15</c:v>
                </c:pt>
                <c:pt idx="3">
                  <c:v>4.8599999999999985</c:v>
                </c:pt>
                <c:pt idx="4">
                  <c:v>5.71</c:v>
                </c:pt>
                <c:pt idx="5">
                  <c:v>4.9400000000000004</c:v>
                </c:pt>
                <c:pt idx="6">
                  <c:v>4.4300000000000024</c:v>
                </c:pt>
                <c:pt idx="7">
                  <c:v>4.17</c:v>
                </c:pt>
                <c:pt idx="8">
                  <c:v>3.92</c:v>
                </c:pt>
                <c:pt idx="9">
                  <c:v>4.26</c:v>
                </c:pt>
              </c:numCache>
            </c:numRef>
          </c:val>
        </c:ser>
        <c:ser>
          <c:idx val="2"/>
          <c:order val="2"/>
          <c:tx>
            <c:strRef>
              <c:f>Sheet1!$D$46</c:f>
              <c:strCache>
                <c:ptCount val="1"/>
                <c:pt idx="0">
                  <c:v>Vilniaus r.</c:v>
                </c:pt>
              </c:strCache>
            </c:strRef>
          </c:tx>
          <c:marker>
            <c:symbol val="none"/>
          </c:marker>
          <c:cat>
            <c:numRef>
              <c:f>Sheet1!$A$47:$A$56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Sheet1!$D$47:$D$56</c:f>
              <c:numCache>
                <c:formatCode>General</c:formatCode>
                <c:ptCount val="10"/>
                <c:pt idx="0">
                  <c:v>5.63</c:v>
                </c:pt>
                <c:pt idx="1">
                  <c:v>5.48</c:v>
                </c:pt>
                <c:pt idx="2">
                  <c:v>5.58</c:v>
                </c:pt>
                <c:pt idx="3">
                  <c:v>5.8199999999999985</c:v>
                </c:pt>
                <c:pt idx="4">
                  <c:v>5.88</c:v>
                </c:pt>
                <c:pt idx="5">
                  <c:v>5.95</c:v>
                </c:pt>
                <c:pt idx="6">
                  <c:v>6.42</c:v>
                </c:pt>
                <c:pt idx="7">
                  <c:v>6.45</c:v>
                </c:pt>
                <c:pt idx="8">
                  <c:v>5.7</c:v>
                </c:pt>
                <c:pt idx="9">
                  <c:v>5.63</c:v>
                </c:pt>
              </c:numCache>
            </c:numRef>
          </c:val>
        </c:ser>
        <c:ser>
          <c:idx val="3"/>
          <c:order val="3"/>
          <c:tx>
            <c:strRef>
              <c:f>Sheet1!$E$46</c:f>
              <c:strCache>
                <c:ptCount val="1"/>
                <c:pt idx="0">
                  <c:v>Lietuva</c:v>
                </c:pt>
              </c:strCache>
            </c:strRef>
          </c:tx>
          <c:marker>
            <c:symbol val="none"/>
          </c:marker>
          <c:cat>
            <c:numRef>
              <c:f>Sheet1!$A$47:$A$56</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Sheet1!$E$47:$E$56</c:f>
              <c:numCache>
                <c:formatCode>General</c:formatCode>
                <c:ptCount val="10"/>
                <c:pt idx="0">
                  <c:v>2.77</c:v>
                </c:pt>
                <c:pt idx="1">
                  <c:v>3.53</c:v>
                </c:pt>
                <c:pt idx="2">
                  <c:v>4.18</c:v>
                </c:pt>
                <c:pt idx="3">
                  <c:v>4.7</c:v>
                </c:pt>
                <c:pt idx="4">
                  <c:v>4.8599999999999985</c:v>
                </c:pt>
                <c:pt idx="5">
                  <c:v>5.07</c:v>
                </c:pt>
                <c:pt idx="6">
                  <c:v>5.26</c:v>
                </c:pt>
                <c:pt idx="7">
                  <c:v>5.44</c:v>
                </c:pt>
                <c:pt idx="8">
                  <c:v>5.52</c:v>
                </c:pt>
                <c:pt idx="9">
                  <c:v>5.7</c:v>
                </c:pt>
              </c:numCache>
            </c:numRef>
          </c:val>
        </c:ser>
        <c:marker val="1"/>
        <c:axId val="38160256"/>
        <c:axId val="38161792"/>
      </c:lineChart>
      <c:catAx>
        <c:axId val="38160256"/>
        <c:scaling>
          <c:orientation val="minMax"/>
        </c:scaling>
        <c:axPos val="b"/>
        <c:numFmt formatCode="General" sourceLinked="1"/>
        <c:majorTickMark val="none"/>
        <c:tickLblPos val="nextTo"/>
        <c:crossAx val="38161792"/>
        <c:crosses val="autoZero"/>
        <c:auto val="1"/>
        <c:lblAlgn val="ctr"/>
        <c:lblOffset val="100"/>
      </c:catAx>
      <c:valAx>
        <c:axId val="38161792"/>
        <c:scaling>
          <c:orientation val="minMax"/>
        </c:scaling>
        <c:axPos val="l"/>
        <c:majorGridlines/>
        <c:numFmt formatCode="General" sourceLinked="1"/>
        <c:majorTickMark val="none"/>
        <c:tickLblPos val="nextTo"/>
        <c:crossAx val="38160256"/>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Sheet1!$B$32</c:f>
              <c:strCache>
                <c:ptCount val="1"/>
                <c:pt idx="0">
                  <c:v>Šalčininkų r.</c:v>
                </c:pt>
              </c:strCache>
            </c:strRef>
          </c:tx>
          <c:marker>
            <c:symbol val="none"/>
          </c:marker>
          <c:cat>
            <c:numRef>
              <c:f>Sheet1!$A$33:$A$42</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Sheet1!$B$33:$B$42</c:f>
              <c:numCache>
                <c:formatCode>General</c:formatCode>
                <c:ptCount val="10"/>
                <c:pt idx="0">
                  <c:v>2.56</c:v>
                </c:pt>
                <c:pt idx="1">
                  <c:v>2.06</c:v>
                </c:pt>
                <c:pt idx="2">
                  <c:v>2.3299999999999987</c:v>
                </c:pt>
                <c:pt idx="3">
                  <c:v>2.08</c:v>
                </c:pt>
                <c:pt idx="4">
                  <c:v>2.62</c:v>
                </c:pt>
                <c:pt idx="5">
                  <c:v>2.38</c:v>
                </c:pt>
                <c:pt idx="6">
                  <c:v>2.4</c:v>
                </c:pt>
                <c:pt idx="7">
                  <c:v>2.68</c:v>
                </c:pt>
                <c:pt idx="8">
                  <c:v>2.4299999999999997</c:v>
                </c:pt>
                <c:pt idx="9">
                  <c:v>2.48</c:v>
                </c:pt>
              </c:numCache>
            </c:numRef>
          </c:val>
        </c:ser>
        <c:ser>
          <c:idx val="1"/>
          <c:order val="1"/>
          <c:tx>
            <c:strRef>
              <c:f>Sheet1!$C$32</c:f>
              <c:strCache>
                <c:ptCount val="1"/>
                <c:pt idx="0">
                  <c:v>Trakų r.</c:v>
                </c:pt>
              </c:strCache>
            </c:strRef>
          </c:tx>
          <c:marker>
            <c:symbol val="none"/>
          </c:marker>
          <c:cat>
            <c:numRef>
              <c:f>Sheet1!$A$33:$A$42</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Sheet1!$C$33:$C$42</c:f>
              <c:numCache>
                <c:formatCode>General</c:formatCode>
                <c:ptCount val="10"/>
                <c:pt idx="0">
                  <c:v>4.3</c:v>
                </c:pt>
                <c:pt idx="1">
                  <c:v>3.77</c:v>
                </c:pt>
                <c:pt idx="2">
                  <c:v>4.58</c:v>
                </c:pt>
                <c:pt idx="3">
                  <c:v>4.3199999999999985</c:v>
                </c:pt>
                <c:pt idx="4">
                  <c:v>4.6199999999999966</c:v>
                </c:pt>
                <c:pt idx="5">
                  <c:v>3.84</c:v>
                </c:pt>
                <c:pt idx="6">
                  <c:v>3.6</c:v>
                </c:pt>
                <c:pt idx="7">
                  <c:v>4.17</c:v>
                </c:pt>
                <c:pt idx="8">
                  <c:v>4.4800000000000004</c:v>
                </c:pt>
                <c:pt idx="9">
                  <c:v>3.7</c:v>
                </c:pt>
              </c:numCache>
            </c:numRef>
          </c:val>
        </c:ser>
        <c:ser>
          <c:idx val="2"/>
          <c:order val="2"/>
          <c:tx>
            <c:strRef>
              <c:f>Sheet1!$D$32</c:f>
              <c:strCache>
                <c:ptCount val="1"/>
                <c:pt idx="0">
                  <c:v>Vilniaus r.</c:v>
                </c:pt>
              </c:strCache>
            </c:strRef>
          </c:tx>
          <c:marker>
            <c:symbol val="none"/>
          </c:marker>
          <c:cat>
            <c:numRef>
              <c:f>Sheet1!$A$33:$A$42</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Sheet1!$D$33:$D$42</c:f>
              <c:numCache>
                <c:formatCode>General</c:formatCode>
                <c:ptCount val="10"/>
                <c:pt idx="0">
                  <c:v>4.6099999999999985</c:v>
                </c:pt>
                <c:pt idx="1">
                  <c:v>4.0199999999999996</c:v>
                </c:pt>
                <c:pt idx="2">
                  <c:v>4.38</c:v>
                </c:pt>
                <c:pt idx="3">
                  <c:v>3.88</c:v>
                </c:pt>
                <c:pt idx="4">
                  <c:v>3.74</c:v>
                </c:pt>
                <c:pt idx="5">
                  <c:v>3.82</c:v>
                </c:pt>
                <c:pt idx="6">
                  <c:v>3.8899999999999997</c:v>
                </c:pt>
                <c:pt idx="7">
                  <c:v>3.4299999999999997</c:v>
                </c:pt>
                <c:pt idx="8">
                  <c:v>3.8299999999999987</c:v>
                </c:pt>
                <c:pt idx="9">
                  <c:v>4.59</c:v>
                </c:pt>
              </c:numCache>
            </c:numRef>
          </c:val>
        </c:ser>
        <c:ser>
          <c:idx val="3"/>
          <c:order val="3"/>
          <c:tx>
            <c:strRef>
              <c:f>Sheet1!$E$32</c:f>
              <c:strCache>
                <c:ptCount val="1"/>
                <c:pt idx="0">
                  <c:v>Lietuva</c:v>
                </c:pt>
              </c:strCache>
            </c:strRef>
          </c:tx>
          <c:marker>
            <c:symbol val="none"/>
          </c:marker>
          <c:cat>
            <c:numRef>
              <c:f>Sheet1!$A$33:$A$42</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Sheet1!$E$33:$E$42</c:f>
              <c:numCache>
                <c:formatCode>General</c:formatCode>
                <c:ptCount val="10"/>
                <c:pt idx="0">
                  <c:v>7.1599999999999975</c:v>
                </c:pt>
                <c:pt idx="1">
                  <c:v>6.67</c:v>
                </c:pt>
                <c:pt idx="2">
                  <c:v>6.88</c:v>
                </c:pt>
                <c:pt idx="3">
                  <c:v>6.63</c:v>
                </c:pt>
                <c:pt idx="4">
                  <c:v>7.21</c:v>
                </c:pt>
                <c:pt idx="5">
                  <c:v>6.64</c:v>
                </c:pt>
                <c:pt idx="6">
                  <c:v>7.1099999999999985</c:v>
                </c:pt>
                <c:pt idx="7">
                  <c:v>6.83</c:v>
                </c:pt>
                <c:pt idx="8">
                  <c:v>7.23</c:v>
                </c:pt>
                <c:pt idx="9">
                  <c:v>7.79</c:v>
                </c:pt>
              </c:numCache>
            </c:numRef>
          </c:val>
        </c:ser>
        <c:marker val="1"/>
        <c:axId val="38193408"/>
        <c:axId val="38199296"/>
      </c:lineChart>
      <c:catAx>
        <c:axId val="38193408"/>
        <c:scaling>
          <c:orientation val="minMax"/>
        </c:scaling>
        <c:axPos val="b"/>
        <c:numFmt formatCode="General" sourceLinked="1"/>
        <c:majorTickMark val="none"/>
        <c:tickLblPos val="nextTo"/>
        <c:crossAx val="38199296"/>
        <c:crosses val="autoZero"/>
        <c:auto val="1"/>
        <c:lblAlgn val="ctr"/>
        <c:lblOffset val="100"/>
      </c:catAx>
      <c:valAx>
        <c:axId val="38199296"/>
        <c:scaling>
          <c:orientation val="minMax"/>
        </c:scaling>
        <c:axPos val="l"/>
        <c:majorGridlines/>
        <c:numFmt formatCode="General" sourceLinked="1"/>
        <c:majorTickMark val="none"/>
        <c:tickLblPos val="nextTo"/>
        <c:crossAx val="3819340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Sheet1!$B$18</c:f>
              <c:strCache>
                <c:ptCount val="1"/>
                <c:pt idx="0">
                  <c:v>Šalčininkų r.</c:v>
                </c:pt>
              </c:strCache>
            </c:strRef>
          </c:tx>
          <c:marker>
            <c:symbol val="none"/>
          </c:marker>
          <c:cat>
            <c:numRef>
              <c:f>Sheet1!$A$19:$A$28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Sheet1!$B$19:$B$28</c:f>
              <c:numCache>
                <c:formatCode>General</c:formatCode>
                <c:ptCount val="10"/>
                <c:pt idx="0">
                  <c:v>53.47</c:v>
                </c:pt>
                <c:pt idx="1">
                  <c:v>52.27</c:v>
                </c:pt>
                <c:pt idx="2">
                  <c:v>49.4</c:v>
                </c:pt>
                <c:pt idx="3">
                  <c:v>47.36</c:v>
                </c:pt>
                <c:pt idx="4">
                  <c:v>46.43</c:v>
                </c:pt>
                <c:pt idx="5">
                  <c:v>45.7</c:v>
                </c:pt>
                <c:pt idx="6">
                  <c:v>45.54</c:v>
                </c:pt>
                <c:pt idx="7">
                  <c:v>46.38</c:v>
                </c:pt>
                <c:pt idx="8">
                  <c:v>47.31</c:v>
                </c:pt>
                <c:pt idx="9">
                  <c:v>47.07</c:v>
                </c:pt>
              </c:numCache>
            </c:numRef>
          </c:val>
        </c:ser>
        <c:ser>
          <c:idx val="1"/>
          <c:order val="1"/>
          <c:tx>
            <c:strRef>
              <c:f>Sheet1!$C$18</c:f>
              <c:strCache>
                <c:ptCount val="1"/>
                <c:pt idx="0">
                  <c:v>Trakų r.</c:v>
                </c:pt>
              </c:strCache>
            </c:strRef>
          </c:tx>
          <c:marker>
            <c:symbol val="none"/>
          </c:marker>
          <c:cat>
            <c:numRef>
              <c:f>Sheet1!$A$19:$A$28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Sheet1!$C$19:$C$28</c:f>
              <c:numCache>
                <c:formatCode>General</c:formatCode>
                <c:ptCount val="10"/>
                <c:pt idx="0">
                  <c:v>69.540000000000006</c:v>
                </c:pt>
                <c:pt idx="1">
                  <c:v>53.06</c:v>
                </c:pt>
                <c:pt idx="2">
                  <c:v>51.45</c:v>
                </c:pt>
                <c:pt idx="3">
                  <c:v>46.75</c:v>
                </c:pt>
                <c:pt idx="4">
                  <c:v>46.48</c:v>
                </c:pt>
                <c:pt idx="5">
                  <c:v>43.65</c:v>
                </c:pt>
                <c:pt idx="6">
                  <c:v>44</c:v>
                </c:pt>
                <c:pt idx="7">
                  <c:v>42.24</c:v>
                </c:pt>
                <c:pt idx="8">
                  <c:v>42.02</c:v>
                </c:pt>
                <c:pt idx="9">
                  <c:v>42.93</c:v>
                </c:pt>
              </c:numCache>
            </c:numRef>
          </c:val>
        </c:ser>
        <c:ser>
          <c:idx val="2"/>
          <c:order val="2"/>
          <c:tx>
            <c:strRef>
              <c:f>Sheet1!$D$18</c:f>
              <c:strCache>
                <c:ptCount val="1"/>
                <c:pt idx="0">
                  <c:v>Vilniaus r.</c:v>
                </c:pt>
              </c:strCache>
            </c:strRef>
          </c:tx>
          <c:marker>
            <c:symbol val="none"/>
          </c:marker>
          <c:cat>
            <c:numRef>
              <c:f>Sheet1!$A$19:$A$28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Sheet1!$D$19:$D$28</c:f>
              <c:numCache>
                <c:formatCode>General</c:formatCode>
                <c:ptCount val="10"/>
                <c:pt idx="0">
                  <c:v>25.55</c:v>
                </c:pt>
                <c:pt idx="1">
                  <c:v>24.47</c:v>
                </c:pt>
                <c:pt idx="2">
                  <c:v>22.32</c:v>
                </c:pt>
                <c:pt idx="3">
                  <c:v>22.54</c:v>
                </c:pt>
                <c:pt idx="4">
                  <c:v>22.330000000000005</c:v>
                </c:pt>
                <c:pt idx="5">
                  <c:v>21.88</c:v>
                </c:pt>
                <c:pt idx="6">
                  <c:v>21.14</c:v>
                </c:pt>
                <c:pt idx="7">
                  <c:v>21.32</c:v>
                </c:pt>
                <c:pt idx="8">
                  <c:v>20.73</c:v>
                </c:pt>
                <c:pt idx="9">
                  <c:v>20.43</c:v>
                </c:pt>
              </c:numCache>
            </c:numRef>
          </c:val>
        </c:ser>
        <c:ser>
          <c:idx val="3"/>
          <c:order val="3"/>
          <c:tx>
            <c:strRef>
              <c:f>Sheet1!$E$18</c:f>
              <c:strCache>
                <c:ptCount val="1"/>
                <c:pt idx="0">
                  <c:v>Lietuva</c:v>
                </c:pt>
              </c:strCache>
            </c:strRef>
          </c:tx>
          <c:marker>
            <c:symbol val="none"/>
          </c:marker>
          <c:cat>
            <c:numRef>
              <c:f>Sheet1!$A$19:$A$28</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Sheet1!$E$19:$E$28</c:f>
              <c:numCache>
                <c:formatCode>General</c:formatCode>
                <c:ptCount val="10"/>
                <c:pt idx="0">
                  <c:v>79.95</c:v>
                </c:pt>
                <c:pt idx="1">
                  <c:v>77.739999999999995</c:v>
                </c:pt>
                <c:pt idx="2">
                  <c:v>76.11999999999999</c:v>
                </c:pt>
                <c:pt idx="3">
                  <c:v>74.8</c:v>
                </c:pt>
                <c:pt idx="4">
                  <c:v>74.53</c:v>
                </c:pt>
                <c:pt idx="5">
                  <c:v>74.36</c:v>
                </c:pt>
                <c:pt idx="6">
                  <c:v>73.679999999999978</c:v>
                </c:pt>
                <c:pt idx="7">
                  <c:v>74.36</c:v>
                </c:pt>
                <c:pt idx="8">
                  <c:v>72.959999999999994</c:v>
                </c:pt>
                <c:pt idx="9">
                  <c:v>73.489999999999995</c:v>
                </c:pt>
              </c:numCache>
            </c:numRef>
          </c:val>
        </c:ser>
        <c:marker val="1"/>
        <c:axId val="38238848"/>
        <c:axId val="38248832"/>
      </c:lineChart>
      <c:catAx>
        <c:axId val="38238848"/>
        <c:scaling>
          <c:orientation val="minMax"/>
        </c:scaling>
        <c:axPos val="b"/>
        <c:numFmt formatCode="General" sourceLinked="1"/>
        <c:majorTickMark val="none"/>
        <c:tickLblPos val="nextTo"/>
        <c:crossAx val="38248832"/>
        <c:crosses val="autoZero"/>
        <c:auto val="1"/>
        <c:lblAlgn val="ctr"/>
        <c:lblOffset val="100"/>
      </c:catAx>
      <c:valAx>
        <c:axId val="38248832"/>
        <c:scaling>
          <c:orientation val="minMax"/>
          <c:min val="10"/>
        </c:scaling>
        <c:axPos val="l"/>
        <c:majorGridlines/>
        <c:numFmt formatCode="General" sourceLinked="1"/>
        <c:majorTickMark val="none"/>
        <c:tickLblPos val="nextTo"/>
        <c:crossAx val="3823884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Sheet1!$B$149</c:f>
              <c:strCache>
                <c:ptCount val="1"/>
                <c:pt idx="0">
                  <c:v>Šalčininkų r.</c:v>
                </c:pt>
              </c:strCache>
            </c:strRef>
          </c:tx>
          <c:marker>
            <c:symbol val="none"/>
          </c:marker>
          <c:cat>
            <c:numRef>
              <c:f>Sheet1!$A$150:$A$159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Sheet1!$B$150:$B$159</c:f>
              <c:numCache>
                <c:formatCode>General</c:formatCode>
                <c:ptCount val="10"/>
                <c:pt idx="0">
                  <c:v>194.26</c:v>
                </c:pt>
                <c:pt idx="1">
                  <c:v>202.72</c:v>
                </c:pt>
                <c:pt idx="2">
                  <c:v>202.44</c:v>
                </c:pt>
                <c:pt idx="3">
                  <c:v>199.42000000000004</c:v>
                </c:pt>
                <c:pt idx="4">
                  <c:v>203.23</c:v>
                </c:pt>
                <c:pt idx="5">
                  <c:v>195.54</c:v>
                </c:pt>
                <c:pt idx="6">
                  <c:v>210.76</c:v>
                </c:pt>
                <c:pt idx="7">
                  <c:v>206.01</c:v>
                </c:pt>
                <c:pt idx="8">
                  <c:v>201.20999999999998</c:v>
                </c:pt>
                <c:pt idx="9">
                  <c:v>202.39000000000001</c:v>
                </c:pt>
              </c:numCache>
            </c:numRef>
          </c:val>
        </c:ser>
        <c:ser>
          <c:idx val="1"/>
          <c:order val="1"/>
          <c:tx>
            <c:strRef>
              <c:f>Sheet1!$C$149</c:f>
              <c:strCache>
                <c:ptCount val="1"/>
                <c:pt idx="0">
                  <c:v>Trakų r.</c:v>
                </c:pt>
              </c:strCache>
            </c:strRef>
          </c:tx>
          <c:marker>
            <c:symbol val="none"/>
          </c:marker>
          <c:cat>
            <c:numRef>
              <c:f>Sheet1!$A$150:$A$159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Sheet1!$C$150:$C$159</c:f>
              <c:numCache>
                <c:formatCode>General</c:formatCode>
                <c:ptCount val="10"/>
                <c:pt idx="0">
                  <c:v>284.05</c:v>
                </c:pt>
                <c:pt idx="1">
                  <c:v>298</c:v>
                </c:pt>
                <c:pt idx="2">
                  <c:v>278.18</c:v>
                </c:pt>
                <c:pt idx="3">
                  <c:v>263.39</c:v>
                </c:pt>
                <c:pt idx="4">
                  <c:v>261.67</c:v>
                </c:pt>
                <c:pt idx="5">
                  <c:v>249.49</c:v>
                </c:pt>
                <c:pt idx="6">
                  <c:v>253.23999999999998</c:v>
                </c:pt>
                <c:pt idx="7">
                  <c:v>241.84</c:v>
                </c:pt>
                <c:pt idx="8">
                  <c:v>235.78</c:v>
                </c:pt>
                <c:pt idx="9">
                  <c:v>233.87</c:v>
                </c:pt>
              </c:numCache>
            </c:numRef>
          </c:val>
        </c:ser>
        <c:ser>
          <c:idx val="2"/>
          <c:order val="2"/>
          <c:tx>
            <c:strRef>
              <c:f>Sheet1!$D$149</c:f>
              <c:strCache>
                <c:ptCount val="1"/>
                <c:pt idx="0">
                  <c:v>Vilniaus r.</c:v>
                </c:pt>
              </c:strCache>
            </c:strRef>
          </c:tx>
          <c:marker>
            <c:symbol val="none"/>
          </c:marker>
          <c:cat>
            <c:numRef>
              <c:f>Sheet1!$A$150:$A$159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Sheet1!$D$150:$D$159</c:f>
              <c:numCache>
                <c:formatCode>General</c:formatCode>
                <c:ptCount val="10"/>
                <c:pt idx="0">
                  <c:v>164.23</c:v>
                </c:pt>
                <c:pt idx="1">
                  <c:v>169.12</c:v>
                </c:pt>
                <c:pt idx="2">
                  <c:v>167.67</c:v>
                </c:pt>
                <c:pt idx="3">
                  <c:v>168.70999999999998</c:v>
                </c:pt>
                <c:pt idx="4">
                  <c:v>167.53</c:v>
                </c:pt>
                <c:pt idx="5">
                  <c:v>163.10999999999999</c:v>
                </c:pt>
                <c:pt idx="6">
                  <c:v>169.15</c:v>
                </c:pt>
                <c:pt idx="7">
                  <c:v>170</c:v>
                </c:pt>
                <c:pt idx="8">
                  <c:v>169.05</c:v>
                </c:pt>
                <c:pt idx="9">
                  <c:v>169.19</c:v>
                </c:pt>
              </c:numCache>
            </c:numRef>
          </c:val>
        </c:ser>
        <c:ser>
          <c:idx val="3"/>
          <c:order val="3"/>
          <c:tx>
            <c:strRef>
              <c:f>Sheet1!$E$149</c:f>
              <c:strCache>
                <c:ptCount val="1"/>
                <c:pt idx="0">
                  <c:v>Lietuva</c:v>
                </c:pt>
              </c:strCache>
            </c:strRef>
          </c:tx>
          <c:marker>
            <c:symbol val="none"/>
          </c:marker>
          <c:cat>
            <c:numRef>
              <c:f>Sheet1!$A$150:$A$159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Sheet1!$E$150:$E$159</c:f>
              <c:numCache>
                <c:formatCode>General</c:formatCode>
                <c:ptCount val="10"/>
                <c:pt idx="0">
                  <c:v>229</c:v>
                </c:pt>
                <c:pt idx="1">
                  <c:v>223.05</c:v>
                </c:pt>
                <c:pt idx="2">
                  <c:v>220.72</c:v>
                </c:pt>
                <c:pt idx="3">
                  <c:v>222.66</c:v>
                </c:pt>
                <c:pt idx="4">
                  <c:v>221.37</c:v>
                </c:pt>
                <c:pt idx="5">
                  <c:v>213.72</c:v>
                </c:pt>
                <c:pt idx="6">
                  <c:v>216.49</c:v>
                </c:pt>
                <c:pt idx="7">
                  <c:v>217.79</c:v>
                </c:pt>
                <c:pt idx="8">
                  <c:v>219.75</c:v>
                </c:pt>
                <c:pt idx="9">
                  <c:v>219.07</c:v>
                </c:pt>
              </c:numCache>
            </c:numRef>
          </c:val>
        </c:ser>
        <c:marker val="1"/>
        <c:axId val="38272384"/>
        <c:axId val="76031104"/>
      </c:lineChart>
      <c:catAx>
        <c:axId val="38272384"/>
        <c:scaling>
          <c:orientation val="minMax"/>
        </c:scaling>
        <c:axPos val="b"/>
        <c:numFmt formatCode="General" sourceLinked="1"/>
        <c:majorTickMark val="none"/>
        <c:tickLblPos val="nextTo"/>
        <c:crossAx val="76031104"/>
        <c:crosses val="autoZero"/>
        <c:auto val="1"/>
        <c:lblAlgn val="ctr"/>
        <c:lblOffset val="100"/>
      </c:catAx>
      <c:valAx>
        <c:axId val="76031104"/>
        <c:scaling>
          <c:orientation val="minMax"/>
          <c:min val="140"/>
        </c:scaling>
        <c:axPos val="l"/>
        <c:majorGridlines/>
        <c:numFmt formatCode="General" sourceLinked="1"/>
        <c:majorTickMark val="none"/>
        <c:tickLblPos val="nextTo"/>
        <c:crossAx val="38272384"/>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Sheet1!$B$60</c:f>
              <c:strCache>
                <c:ptCount val="1"/>
                <c:pt idx="0">
                  <c:v>Šalčininkų r.</c:v>
                </c:pt>
              </c:strCache>
            </c:strRef>
          </c:tx>
          <c:marker>
            <c:symbol val="none"/>
          </c:marker>
          <c:cat>
            <c:numRef>
              <c:f>Sheet1!$A$61:$A$70</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Sheet1!$B$61:$B$70</c:f>
              <c:numCache>
                <c:formatCode>General</c:formatCode>
                <c:ptCount val="10"/>
                <c:pt idx="0">
                  <c:v>280.64999999999998</c:v>
                </c:pt>
                <c:pt idx="1">
                  <c:v>369.12</c:v>
                </c:pt>
                <c:pt idx="2">
                  <c:v>421.06</c:v>
                </c:pt>
                <c:pt idx="3">
                  <c:v>476.57</c:v>
                </c:pt>
                <c:pt idx="4">
                  <c:v>471.31</c:v>
                </c:pt>
                <c:pt idx="5">
                  <c:v>414.68</c:v>
                </c:pt>
                <c:pt idx="6">
                  <c:v>547.03</c:v>
                </c:pt>
                <c:pt idx="7">
                  <c:v>550.38</c:v>
                </c:pt>
                <c:pt idx="8">
                  <c:v>563.97</c:v>
                </c:pt>
                <c:pt idx="9">
                  <c:v>527.69000000000005</c:v>
                </c:pt>
              </c:numCache>
            </c:numRef>
          </c:val>
        </c:ser>
        <c:ser>
          <c:idx val="1"/>
          <c:order val="1"/>
          <c:tx>
            <c:strRef>
              <c:f>Sheet1!$C$60</c:f>
              <c:strCache>
                <c:ptCount val="1"/>
                <c:pt idx="0">
                  <c:v>Trakų r.</c:v>
                </c:pt>
              </c:strCache>
            </c:strRef>
          </c:tx>
          <c:marker>
            <c:symbol val="none"/>
          </c:marker>
          <c:cat>
            <c:numRef>
              <c:f>Sheet1!$A$61:$A$70</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Sheet1!$C$61:$C$70</c:f>
              <c:numCache>
                <c:formatCode>General</c:formatCode>
                <c:ptCount val="10"/>
                <c:pt idx="0">
                  <c:v>820.53</c:v>
                </c:pt>
                <c:pt idx="1">
                  <c:v>773.94999999999948</c:v>
                </c:pt>
                <c:pt idx="2">
                  <c:v>712.34999999999798</c:v>
                </c:pt>
                <c:pt idx="3">
                  <c:v>667.18000000000052</c:v>
                </c:pt>
                <c:pt idx="4">
                  <c:v>698.22</c:v>
                </c:pt>
                <c:pt idx="5">
                  <c:v>699.69</c:v>
                </c:pt>
                <c:pt idx="6">
                  <c:v>731.11</c:v>
                </c:pt>
                <c:pt idx="7">
                  <c:v>714.47</c:v>
                </c:pt>
                <c:pt idx="8">
                  <c:v>684.17000000000053</c:v>
                </c:pt>
                <c:pt idx="9">
                  <c:v>698.91</c:v>
                </c:pt>
              </c:numCache>
            </c:numRef>
          </c:val>
        </c:ser>
        <c:ser>
          <c:idx val="2"/>
          <c:order val="2"/>
          <c:tx>
            <c:strRef>
              <c:f>Sheet1!$D$60</c:f>
              <c:strCache>
                <c:ptCount val="1"/>
                <c:pt idx="0">
                  <c:v>Vilniaus r.</c:v>
                </c:pt>
              </c:strCache>
            </c:strRef>
          </c:tx>
          <c:marker>
            <c:symbol val="none"/>
          </c:marker>
          <c:cat>
            <c:numRef>
              <c:f>Sheet1!$A$61:$A$70</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Sheet1!$D$61:$D$70</c:f>
              <c:numCache>
                <c:formatCode>General</c:formatCode>
                <c:ptCount val="10"/>
                <c:pt idx="0">
                  <c:v>436.75</c:v>
                </c:pt>
                <c:pt idx="1">
                  <c:v>440.1</c:v>
                </c:pt>
                <c:pt idx="2">
                  <c:v>455.75</c:v>
                </c:pt>
                <c:pt idx="3">
                  <c:v>493.90999999999963</c:v>
                </c:pt>
                <c:pt idx="4">
                  <c:v>539.02</c:v>
                </c:pt>
                <c:pt idx="5">
                  <c:v>538.41</c:v>
                </c:pt>
                <c:pt idx="6">
                  <c:v>554.84999999999798</c:v>
                </c:pt>
                <c:pt idx="7">
                  <c:v>541.29000000000053</c:v>
                </c:pt>
                <c:pt idx="8">
                  <c:v>511.77</c:v>
                </c:pt>
                <c:pt idx="9">
                  <c:v>506.45</c:v>
                </c:pt>
              </c:numCache>
            </c:numRef>
          </c:val>
        </c:ser>
        <c:ser>
          <c:idx val="3"/>
          <c:order val="3"/>
          <c:tx>
            <c:strRef>
              <c:f>Sheet1!$E$60</c:f>
              <c:strCache>
                <c:ptCount val="1"/>
                <c:pt idx="0">
                  <c:v>Lietuva</c:v>
                </c:pt>
              </c:strCache>
            </c:strRef>
          </c:tx>
          <c:marker>
            <c:symbol val="none"/>
          </c:marker>
          <c:cat>
            <c:numRef>
              <c:f>Sheet1!$A$61:$A$70</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Sheet1!$E$61:$E$70</c:f>
              <c:numCache>
                <c:formatCode>General</c:formatCode>
                <c:ptCount val="10"/>
                <c:pt idx="0">
                  <c:v>534.69000000000005</c:v>
                </c:pt>
                <c:pt idx="1">
                  <c:v>547.76</c:v>
                </c:pt>
                <c:pt idx="2">
                  <c:v>571.54</c:v>
                </c:pt>
                <c:pt idx="3">
                  <c:v>603.48</c:v>
                </c:pt>
                <c:pt idx="4">
                  <c:v>620.61</c:v>
                </c:pt>
                <c:pt idx="5">
                  <c:v>616.99</c:v>
                </c:pt>
                <c:pt idx="6">
                  <c:v>642.99</c:v>
                </c:pt>
                <c:pt idx="7">
                  <c:v>651.02</c:v>
                </c:pt>
                <c:pt idx="8">
                  <c:v>652.59</c:v>
                </c:pt>
                <c:pt idx="9">
                  <c:v>645.41999999999996</c:v>
                </c:pt>
              </c:numCache>
            </c:numRef>
          </c:val>
        </c:ser>
        <c:marker val="1"/>
        <c:axId val="76050432"/>
        <c:axId val="76051968"/>
      </c:lineChart>
      <c:catAx>
        <c:axId val="76050432"/>
        <c:scaling>
          <c:orientation val="minMax"/>
        </c:scaling>
        <c:axPos val="b"/>
        <c:numFmt formatCode="General" sourceLinked="1"/>
        <c:majorTickMark val="none"/>
        <c:tickLblPos val="nextTo"/>
        <c:crossAx val="76051968"/>
        <c:crosses val="autoZero"/>
        <c:auto val="1"/>
        <c:lblAlgn val="ctr"/>
        <c:lblOffset val="100"/>
      </c:catAx>
      <c:valAx>
        <c:axId val="76051968"/>
        <c:scaling>
          <c:orientation val="minMax"/>
          <c:min val="200"/>
        </c:scaling>
        <c:axPos val="l"/>
        <c:majorGridlines/>
        <c:numFmt formatCode="General" sourceLinked="1"/>
        <c:majorTickMark val="none"/>
        <c:tickLblPos val="nextTo"/>
        <c:crossAx val="76050432"/>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Sheet1!$B$75</c:f>
              <c:strCache>
                <c:ptCount val="1"/>
                <c:pt idx="0">
                  <c:v>Šalčininkų r.</c:v>
                </c:pt>
              </c:strCache>
            </c:strRef>
          </c:tx>
          <c:marker>
            <c:symbol val="none"/>
          </c:marker>
          <c:cat>
            <c:numRef>
              <c:f>Sheet1!$A$76:$A$85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Sheet1!$B$76:$B$85</c:f>
              <c:numCache>
                <c:formatCode>General</c:formatCode>
                <c:ptCount val="10"/>
                <c:pt idx="0">
                  <c:v>43.49</c:v>
                </c:pt>
                <c:pt idx="1">
                  <c:v>54.2</c:v>
                </c:pt>
                <c:pt idx="2">
                  <c:v>160.13999999999999</c:v>
                </c:pt>
                <c:pt idx="3">
                  <c:v>219.13</c:v>
                </c:pt>
                <c:pt idx="4">
                  <c:v>214.14</c:v>
                </c:pt>
                <c:pt idx="5">
                  <c:v>192.83</c:v>
                </c:pt>
                <c:pt idx="6">
                  <c:v>266.01</c:v>
                </c:pt>
                <c:pt idx="7">
                  <c:v>271.16000000000008</c:v>
                </c:pt>
                <c:pt idx="8">
                  <c:v>276.27</c:v>
                </c:pt>
                <c:pt idx="9">
                  <c:v>256.56</c:v>
                </c:pt>
              </c:numCache>
            </c:numRef>
          </c:val>
        </c:ser>
        <c:ser>
          <c:idx val="1"/>
          <c:order val="1"/>
          <c:tx>
            <c:strRef>
              <c:f>Sheet1!$C$75</c:f>
              <c:strCache>
                <c:ptCount val="1"/>
                <c:pt idx="0">
                  <c:v>Trakų r.</c:v>
                </c:pt>
              </c:strCache>
            </c:strRef>
          </c:tx>
          <c:marker>
            <c:symbol val="none"/>
          </c:marker>
          <c:cat>
            <c:numRef>
              <c:f>Sheet1!$A$76:$A$85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Sheet1!$C$76:$C$85</c:f>
              <c:numCache>
                <c:formatCode>General</c:formatCode>
                <c:ptCount val="10"/>
                <c:pt idx="0">
                  <c:v>151.04</c:v>
                </c:pt>
                <c:pt idx="1">
                  <c:v>134.30000000000001</c:v>
                </c:pt>
                <c:pt idx="2">
                  <c:v>119.89</c:v>
                </c:pt>
                <c:pt idx="3">
                  <c:v>256.27999999999969</c:v>
                </c:pt>
                <c:pt idx="4">
                  <c:v>315.55</c:v>
                </c:pt>
                <c:pt idx="5">
                  <c:v>330.5</c:v>
                </c:pt>
                <c:pt idx="6">
                  <c:v>340.2</c:v>
                </c:pt>
                <c:pt idx="7">
                  <c:v>320.08</c:v>
                </c:pt>
                <c:pt idx="8">
                  <c:v>317.47999999999894</c:v>
                </c:pt>
                <c:pt idx="9">
                  <c:v>324.31</c:v>
                </c:pt>
              </c:numCache>
            </c:numRef>
          </c:val>
        </c:ser>
        <c:ser>
          <c:idx val="2"/>
          <c:order val="2"/>
          <c:tx>
            <c:strRef>
              <c:f>Sheet1!$D$75</c:f>
              <c:strCache>
                <c:ptCount val="1"/>
                <c:pt idx="0">
                  <c:v>Vilniaus r.</c:v>
                </c:pt>
              </c:strCache>
            </c:strRef>
          </c:tx>
          <c:marker>
            <c:symbol val="none"/>
          </c:marker>
          <c:cat>
            <c:numRef>
              <c:f>Sheet1!$A$76:$A$85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Sheet1!$D$76:$D$85</c:f>
              <c:numCache>
                <c:formatCode>General</c:formatCode>
                <c:ptCount val="10"/>
                <c:pt idx="0">
                  <c:v>187.03</c:v>
                </c:pt>
                <c:pt idx="1">
                  <c:v>206.78</c:v>
                </c:pt>
                <c:pt idx="2">
                  <c:v>216.75</c:v>
                </c:pt>
                <c:pt idx="3">
                  <c:v>260.3</c:v>
                </c:pt>
                <c:pt idx="4">
                  <c:v>295.89999999999969</c:v>
                </c:pt>
                <c:pt idx="5">
                  <c:v>292.66000000000008</c:v>
                </c:pt>
                <c:pt idx="6">
                  <c:v>306.37</c:v>
                </c:pt>
                <c:pt idx="7">
                  <c:v>291.69</c:v>
                </c:pt>
                <c:pt idx="8">
                  <c:v>272.98999999999899</c:v>
                </c:pt>
                <c:pt idx="9">
                  <c:v>268.77999999999969</c:v>
                </c:pt>
              </c:numCache>
            </c:numRef>
          </c:val>
        </c:ser>
        <c:ser>
          <c:idx val="3"/>
          <c:order val="3"/>
          <c:tx>
            <c:strRef>
              <c:f>Sheet1!$E$75</c:f>
              <c:strCache>
                <c:ptCount val="1"/>
                <c:pt idx="0">
                  <c:v>Lietuva</c:v>
                </c:pt>
              </c:strCache>
            </c:strRef>
          </c:tx>
          <c:marker>
            <c:symbol val="none"/>
          </c:marker>
          <c:cat>
            <c:numRef>
              <c:f>Sheet1!$A$76:$A$85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Sheet1!$E$76:$E$85</c:f>
              <c:numCache>
                <c:formatCode>General</c:formatCode>
                <c:ptCount val="10"/>
                <c:pt idx="0">
                  <c:v>87.490000000000023</c:v>
                </c:pt>
                <c:pt idx="1">
                  <c:v>123.51</c:v>
                </c:pt>
                <c:pt idx="2">
                  <c:v>158.79</c:v>
                </c:pt>
                <c:pt idx="3">
                  <c:v>206.7</c:v>
                </c:pt>
                <c:pt idx="4">
                  <c:v>235.42000000000004</c:v>
                </c:pt>
                <c:pt idx="5">
                  <c:v>246.20999999999998</c:v>
                </c:pt>
                <c:pt idx="6">
                  <c:v>264.88</c:v>
                </c:pt>
                <c:pt idx="7">
                  <c:v>273.04000000000002</c:v>
                </c:pt>
                <c:pt idx="8">
                  <c:v>276.20999999999964</c:v>
                </c:pt>
                <c:pt idx="9">
                  <c:v>273.27999999999969</c:v>
                </c:pt>
              </c:numCache>
            </c:numRef>
          </c:val>
        </c:ser>
        <c:marker val="1"/>
        <c:axId val="76079488"/>
        <c:axId val="76081024"/>
      </c:lineChart>
      <c:catAx>
        <c:axId val="76079488"/>
        <c:scaling>
          <c:orientation val="minMax"/>
        </c:scaling>
        <c:axPos val="b"/>
        <c:numFmt formatCode="General" sourceLinked="1"/>
        <c:majorTickMark val="none"/>
        <c:tickLblPos val="nextTo"/>
        <c:crossAx val="76081024"/>
        <c:crosses val="autoZero"/>
        <c:auto val="1"/>
        <c:lblAlgn val="ctr"/>
        <c:lblOffset val="100"/>
      </c:catAx>
      <c:valAx>
        <c:axId val="76081024"/>
        <c:scaling>
          <c:orientation val="minMax"/>
        </c:scaling>
        <c:axPos val="l"/>
        <c:majorGridlines/>
        <c:numFmt formatCode="General" sourceLinked="1"/>
        <c:majorTickMark val="none"/>
        <c:tickLblPos val="nextTo"/>
        <c:crossAx val="76079488"/>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Sheet1!$B$89</c:f>
              <c:strCache>
                <c:ptCount val="1"/>
                <c:pt idx="0">
                  <c:v>Šalčininkų r.</c:v>
                </c:pt>
              </c:strCache>
            </c:strRef>
          </c:tx>
          <c:marker>
            <c:symbol val="none"/>
          </c:marker>
          <c:cat>
            <c:numRef>
              <c:f>Sheet1!$A$90:$A$99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Sheet1!$B$90:$B$99</c:f>
              <c:numCache>
                <c:formatCode>General</c:formatCode>
                <c:ptCount val="10"/>
                <c:pt idx="0">
                  <c:v>0.76000000000000345</c:v>
                </c:pt>
                <c:pt idx="1">
                  <c:v>0.69000000000000061</c:v>
                </c:pt>
                <c:pt idx="2">
                  <c:v>0.64000000000000346</c:v>
                </c:pt>
                <c:pt idx="3">
                  <c:v>0.55000000000000004</c:v>
                </c:pt>
                <c:pt idx="4">
                  <c:v>0.56000000000000005</c:v>
                </c:pt>
                <c:pt idx="5">
                  <c:v>0.64000000000000346</c:v>
                </c:pt>
                <c:pt idx="6">
                  <c:v>0.76000000000000345</c:v>
                </c:pt>
                <c:pt idx="7">
                  <c:v>0.8</c:v>
                </c:pt>
                <c:pt idx="8">
                  <c:v>0.59</c:v>
                </c:pt>
                <c:pt idx="9">
                  <c:v>0.51</c:v>
                </c:pt>
              </c:numCache>
            </c:numRef>
          </c:val>
        </c:ser>
        <c:ser>
          <c:idx val="1"/>
          <c:order val="1"/>
          <c:tx>
            <c:strRef>
              <c:f>Sheet1!$C$89</c:f>
              <c:strCache>
                <c:ptCount val="1"/>
                <c:pt idx="0">
                  <c:v>Trakų r.</c:v>
                </c:pt>
              </c:strCache>
            </c:strRef>
          </c:tx>
          <c:marker>
            <c:symbol val="none"/>
          </c:marker>
          <c:cat>
            <c:numRef>
              <c:f>Sheet1!$A$90:$A$99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Sheet1!$C$90:$C$99</c:f>
              <c:numCache>
                <c:formatCode>General</c:formatCode>
                <c:ptCount val="10"/>
                <c:pt idx="0">
                  <c:v>0.83000000000000063</c:v>
                </c:pt>
                <c:pt idx="1">
                  <c:v>0.89</c:v>
                </c:pt>
                <c:pt idx="2">
                  <c:v>0.86000000000000065</c:v>
                </c:pt>
                <c:pt idx="3">
                  <c:v>0.9</c:v>
                </c:pt>
                <c:pt idx="4">
                  <c:v>0.99</c:v>
                </c:pt>
                <c:pt idx="5">
                  <c:v>0.94000000000000061</c:v>
                </c:pt>
                <c:pt idx="6">
                  <c:v>0.7400000000000031</c:v>
                </c:pt>
                <c:pt idx="7">
                  <c:v>0.7400000000000031</c:v>
                </c:pt>
                <c:pt idx="8">
                  <c:v>0.83000000000000063</c:v>
                </c:pt>
                <c:pt idx="9">
                  <c:v>0.77000000000000346</c:v>
                </c:pt>
              </c:numCache>
            </c:numRef>
          </c:val>
        </c:ser>
        <c:ser>
          <c:idx val="2"/>
          <c:order val="2"/>
          <c:tx>
            <c:strRef>
              <c:f>Sheet1!$D$89</c:f>
              <c:strCache>
                <c:ptCount val="1"/>
                <c:pt idx="0">
                  <c:v>Vilniaus r.</c:v>
                </c:pt>
              </c:strCache>
            </c:strRef>
          </c:tx>
          <c:marker>
            <c:symbol val="none"/>
          </c:marker>
          <c:cat>
            <c:numRef>
              <c:f>Sheet1!$A$90:$A$99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Sheet1!$D$90:$D$99</c:f>
              <c:numCache>
                <c:formatCode>General</c:formatCode>
                <c:ptCount val="10"/>
                <c:pt idx="0">
                  <c:v>1.4</c:v>
                </c:pt>
                <c:pt idx="1">
                  <c:v>1.4</c:v>
                </c:pt>
                <c:pt idx="2">
                  <c:v>1.41</c:v>
                </c:pt>
                <c:pt idx="3">
                  <c:v>0.97000000000000064</c:v>
                </c:pt>
                <c:pt idx="4">
                  <c:v>1.29</c:v>
                </c:pt>
                <c:pt idx="5">
                  <c:v>0.78</c:v>
                </c:pt>
                <c:pt idx="6">
                  <c:v>0.72000000000000064</c:v>
                </c:pt>
                <c:pt idx="7">
                  <c:v>0.67000000000000404</c:v>
                </c:pt>
                <c:pt idx="8">
                  <c:v>0.64000000000000346</c:v>
                </c:pt>
                <c:pt idx="9">
                  <c:v>0.66000000000000403</c:v>
                </c:pt>
              </c:numCache>
            </c:numRef>
          </c:val>
        </c:ser>
        <c:ser>
          <c:idx val="3"/>
          <c:order val="3"/>
          <c:tx>
            <c:strRef>
              <c:f>Sheet1!$E$89</c:f>
              <c:strCache>
                <c:ptCount val="1"/>
                <c:pt idx="0">
                  <c:v>Lietuva</c:v>
                </c:pt>
              </c:strCache>
            </c:strRef>
          </c:tx>
          <c:marker>
            <c:symbol val="none"/>
          </c:marker>
          <c:cat>
            <c:numRef>
              <c:f>Sheet1!$A$90:$A$99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Sheet1!$E$90:$E$99</c:f>
              <c:numCache>
                <c:formatCode>General</c:formatCode>
                <c:ptCount val="10"/>
                <c:pt idx="0">
                  <c:v>1.25</c:v>
                </c:pt>
                <c:pt idx="1">
                  <c:v>1.1700000000000021</c:v>
                </c:pt>
                <c:pt idx="2">
                  <c:v>1.1800000000000062</c:v>
                </c:pt>
                <c:pt idx="3">
                  <c:v>1.129999999999993</c:v>
                </c:pt>
                <c:pt idx="4">
                  <c:v>1.159999999999993</c:v>
                </c:pt>
                <c:pt idx="5">
                  <c:v>0.98</c:v>
                </c:pt>
                <c:pt idx="6">
                  <c:v>1.06</c:v>
                </c:pt>
                <c:pt idx="7">
                  <c:v>0.92</c:v>
                </c:pt>
                <c:pt idx="8">
                  <c:v>0.94000000000000061</c:v>
                </c:pt>
                <c:pt idx="9">
                  <c:v>1</c:v>
                </c:pt>
              </c:numCache>
            </c:numRef>
          </c:val>
        </c:ser>
        <c:marker val="1"/>
        <c:axId val="76141312"/>
        <c:axId val="76142848"/>
      </c:lineChart>
      <c:catAx>
        <c:axId val="76141312"/>
        <c:scaling>
          <c:orientation val="minMax"/>
        </c:scaling>
        <c:axPos val="b"/>
        <c:numFmt formatCode="General" sourceLinked="1"/>
        <c:majorTickMark val="none"/>
        <c:tickLblPos val="nextTo"/>
        <c:crossAx val="76142848"/>
        <c:crosses val="autoZero"/>
        <c:auto val="1"/>
        <c:lblAlgn val="ctr"/>
        <c:lblOffset val="100"/>
      </c:catAx>
      <c:valAx>
        <c:axId val="76142848"/>
        <c:scaling>
          <c:orientation val="minMax"/>
          <c:min val="0.4"/>
        </c:scaling>
        <c:axPos val="l"/>
        <c:majorGridlines/>
        <c:numFmt formatCode="General" sourceLinked="1"/>
        <c:majorTickMark val="none"/>
        <c:tickLblPos val="nextTo"/>
        <c:crossAx val="76141312"/>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Sheet1!$B$104</c:f>
              <c:strCache>
                <c:ptCount val="1"/>
                <c:pt idx="0">
                  <c:v>Šalčininkų r.</c:v>
                </c:pt>
              </c:strCache>
            </c:strRef>
          </c:tx>
          <c:marker>
            <c:symbol val="none"/>
          </c:marker>
          <c:cat>
            <c:numRef>
              <c:f>Sheet1!$A$105:$A$114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Sheet1!$B$105:$B$114</c:f>
              <c:numCache>
                <c:formatCode>General</c:formatCode>
                <c:ptCount val="10"/>
                <c:pt idx="0">
                  <c:v>163.09</c:v>
                </c:pt>
                <c:pt idx="1">
                  <c:v>166.89000000000001</c:v>
                </c:pt>
                <c:pt idx="2">
                  <c:v>169.2</c:v>
                </c:pt>
                <c:pt idx="3">
                  <c:v>182.60999999999999</c:v>
                </c:pt>
                <c:pt idx="4">
                  <c:v>172.01</c:v>
                </c:pt>
                <c:pt idx="5">
                  <c:v>179.5</c:v>
                </c:pt>
                <c:pt idx="6">
                  <c:v>202.19</c:v>
                </c:pt>
                <c:pt idx="7">
                  <c:v>191.15</c:v>
                </c:pt>
                <c:pt idx="8">
                  <c:v>186.05</c:v>
                </c:pt>
                <c:pt idx="9">
                  <c:v>193.67</c:v>
                </c:pt>
              </c:numCache>
            </c:numRef>
          </c:val>
        </c:ser>
        <c:ser>
          <c:idx val="1"/>
          <c:order val="1"/>
          <c:tx>
            <c:strRef>
              <c:f>Sheet1!$C$104</c:f>
              <c:strCache>
                <c:ptCount val="1"/>
                <c:pt idx="0">
                  <c:v>Trakų r.</c:v>
                </c:pt>
              </c:strCache>
            </c:strRef>
          </c:tx>
          <c:marker>
            <c:symbol val="none"/>
          </c:marker>
          <c:cat>
            <c:numRef>
              <c:f>Sheet1!$A$105:$A$114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Sheet1!$C$105:$C$114</c:f>
              <c:numCache>
                <c:formatCode>General</c:formatCode>
                <c:ptCount val="10"/>
                <c:pt idx="0">
                  <c:v>162.82000000000079</c:v>
                </c:pt>
                <c:pt idx="1">
                  <c:v>160.02000000000001</c:v>
                </c:pt>
                <c:pt idx="2">
                  <c:v>176.48000000000027</c:v>
                </c:pt>
                <c:pt idx="3">
                  <c:v>184.5</c:v>
                </c:pt>
                <c:pt idx="4">
                  <c:v>184.46</c:v>
                </c:pt>
                <c:pt idx="5">
                  <c:v>185.63</c:v>
                </c:pt>
                <c:pt idx="6">
                  <c:v>199.52</c:v>
                </c:pt>
                <c:pt idx="7">
                  <c:v>172.37</c:v>
                </c:pt>
                <c:pt idx="8">
                  <c:v>154.28</c:v>
                </c:pt>
                <c:pt idx="9">
                  <c:v>171.85000000000079</c:v>
                </c:pt>
              </c:numCache>
            </c:numRef>
          </c:val>
        </c:ser>
        <c:ser>
          <c:idx val="2"/>
          <c:order val="2"/>
          <c:tx>
            <c:strRef>
              <c:f>Sheet1!$D$104</c:f>
              <c:strCache>
                <c:ptCount val="1"/>
                <c:pt idx="0">
                  <c:v>Vilniaus r.</c:v>
                </c:pt>
              </c:strCache>
            </c:strRef>
          </c:tx>
          <c:marker>
            <c:symbol val="none"/>
          </c:marker>
          <c:cat>
            <c:numRef>
              <c:f>Sheet1!$A$105:$A$114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Sheet1!$D$105:$D$114</c:f>
              <c:numCache>
                <c:formatCode>General</c:formatCode>
                <c:ptCount val="10"/>
                <c:pt idx="0">
                  <c:v>186.9</c:v>
                </c:pt>
                <c:pt idx="1">
                  <c:v>182.52</c:v>
                </c:pt>
                <c:pt idx="2">
                  <c:v>189.19</c:v>
                </c:pt>
                <c:pt idx="3">
                  <c:v>140.76</c:v>
                </c:pt>
                <c:pt idx="4">
                  <c:v>192.65</c:v>
                </c:pt>
                <c:pt idx="5">
                  <c:v>210.54</c:v>
                </c:pt>
                <c:pt idx="6">
                  <c:v>207.05</c:v>
                </c:pt>
                <c:pt idx="7">
                  <c:v>167.25</c:v>
                </c:pt>
                <c:pt idx="8">
                  <c:v>149.01</c:v>
                </c:pt>
                <c:pt idx="9">
                  <c:v>164.82000000000079</c:v>
                </c:pt>
              </c:numCache>
            </c:numRef>
          </c:val>
        </c:ser>
        <c:ser>
          <c:idx val="3"/>
          <c:order val="3"/>
          <c:tx>
            <c:strRef>
              <c:f>Sheet1!$E$104</c:f>
              <c:strCache>
                <c:ptCount val="1"/>
                <c:pt idx="0">
                  <c:v>Lietuva</c:v>
                </c:pt>
              </c:strCache>
            </c:strRef>
          </c:tx>
          <c:marker>
            <c:symbol val="none"/>
          </c:marker>
          <c:cat>
            <c:numRef>
              <c:f>Sheet1!$A$105:$A$114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Sheet1!$E$105:$E$114</c:f>
              <c:numCache>
                <c:formatCode>General</c:formatCode>
                <c:ptCount val="10"/>
                <c:pt idx="0">
                  <c:v>234.26999999999998</c:v>
                </c:pt>
                <c:pt idx="1">
                  <c:v>224.55</c:v>
                </c:pt>
                <c:pt idx="2">
                  <c:v>225.17</c:v>
                </c:pt>
                <c:pt idx="3">
                  <c:v>218.1</c:v>
                </c:pt>
                <c:pt idx="4">
                  <c:v>218.64</c:v>
                </c:pt>
                <c:pt idx="5">
                  <c:v>215.96</c:v>
                </c:pt>
                <c:pt idx="6">
                  <c:v>216.17</c:v>
                </c:pt>
                <c:pt idx="7">
                  <c:v>191</c:v>
                </c:pt>
                <c:pt idx="8">
                  <c:v>182.60999999999999</c:v>
                </c:pt>
                <c:pt idx="9">
                  <c:v>190.22</c:v>
                </c:pt>
              </c:numCache>
            </c:numRef>
          </c:val>
        </c:ser>
        <c:marker val="1"/>
        <c:axId val="76178560"/>
        <c:axId val="76180096"/>
      </c:lineChart>
      <c:catAx>
        <c:axId val="76178560"/>
        <c:scaling>
          <c:orientation val="minMax"/>
        </c:scaling>
        <c:axPos val="b"/>
        <c:numFmt formatCode="General" sourceLinked="1"/>
        <c:majorTickMark val="none"/>
        <c:tickLblPos val="nextTo"/>
        <c:crossAx val="76180096"/>
        <c:crosses val="autoZero"/>
        <c:auto val="1"/>
        <c:lblAlgn val="ctr"/>
        <c:lblOffset val="100"/>
      </c:catAx>
      <c:valAx>
        <c:axId val="76180096"/>
        <c:scaling>
          <c:orientation val="minMax"/>
          <c:min val="120"/>
        </c:scaling>
        <c:axPos val="l"/>
        <c:majorGridlines/>
        <c:numFmt formatCode="General" sourceLinked="1"/>
        <c:majorTickMark val="none"/>
        <c:tickLblPos val="nextTo"/>
        <c:crossAx val="76178560"/>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Sheet1!$B$119</c:f>
              <c:strCache>
                <c:ptCount val="1"/>
                <c:pt idx="0">
                  <c:v>Šalčininkų r.</c:v>
                </c:pt>
              </c:strCache>
            </c:strRef>
          </c:tx>
          <c:marker>
            <c:symbol val="none"/>
          </c:marker>
          <c:cat>
            <c:numRef>
              <c:f>Sheet1!$A$120:$A$129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Sheet1!$B$120:$B$129</c:f>
              <c:numCache>
                <c:formatCode>General</c:formatCode>
                <c:ptCount val="10"/>
                <c:pt idx="0">
                  <c:v>180.81</c:v>
                </c:pt>
                <c:pt idx="1">
                  <c:v>182.57</c:v>
                </c:pt>
                <c:pt idx="2">
                  <c:v>182.93</c:v>
                </c:pt>
                <c:pt idx="3">
                  <c:v>201.73</c:v>
                </c:pt>
                <c:pt idx="4">
                  <c:v>191.48000000000027</c:v>
                </c:pt>
                <c:pt idx="5">
                  <c:v>212.73999999999998</c:v>
                </c:pt>
                <c:pt idx="6">
                  <c:v>221.23</c:v>
                </c:pt>
                <c:pt idx="7">
                  <c:v>209.35000000000079</c:v>
                </c:pt>
                <c:pt idx="8">
                  <c:v>203.76</c:v>
                </c:pt>
                <c:pt idx="9">
                  <c:v>212.57</c:v>
                </c:pt>
              </c:numCache>
            </c:numRef>
          </c:val>
        </c:ser>
        <c:ser>
          <c:idx val="1"/>
          <c:order val="1"/>
          <c:tx>
            <c:strRef>
              <c:f>Sheet1!$C$119</c:f>
              <c:strCache>
                <c:ptCount val="1"/>
                <c:pt idx="0">
                  <c:v>Trakų r.</c:v>
                </c:pt>
              </c:strCache>
            </c:strRef>
          </c:tx>
          <c:marker>
            <c:symbol val="none"/>
          </c:marker>
          <c:cat>
            <c:numRef>
              <c:f>Sheet1!$A$120:$A$129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Sheet1!$C$120:$C$129</c:f>
              <c:numCache>
                <c:formatCode>General</c:formatCode>
                <c:ptCount val="10"/>
                <c:pt idx="0">
                  <c:v>170.45000000000007</c:v>
                </c:pt>
                <c:pt idx="1">
                  <c:v>168.19</c:v>
                </c:pt>
                <c:pt idx="2">
                  <c:v>197.86</c:v>
                </c:pt>
                <c:pt idx="3">
                  <c:v>195.41</c:v>
                </c:pt>
                <c:pt idx="4">
                  <c:v>199.18</c:v>
                </c:pt>
                <c:pt idx="5">
                  <c:v>201.13</c:v>
                </c:pt>
                <c:pt idx="6">
                  <c:v>214.05</c:v>
                </c:pt>
                <c:pt idx="7">
                  <c:v>186.87</c:v>
                </c:pt>
                <c:pt idx="8">
                  <c:v>165.85000000000079</c:v>
                </c:pt>
                <c:pt idx="9">
                  <c:v>184.31</c:v>
                </c:pt>
              </c:numCache>
            </c:numRef>
          </c:val>
        </c:ser>
        <c:ser>
          <c:idx val="2"/>
          <c:order val="2"/>
          <c:tx>
            <c:strRef>
              <c:f>Sheet1!$D$119</c:f>
              <c:strCache>
                <c:ptCount val="1"/>
                <c:pt idx="0">
                  <c:v>Vilniaus r.</c:v>
                </c:pt>
              </c:strCache>
            </c:strRef>
          </c:tx>
          <c:marker>
            <c:symbol val="none"/>
          </c:marker>
          <c:cat>
            <c:numRef>
              <c:f>Sheet1!$A$120:$A$129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Sheet1!$D$120:$D$129</c:f>
              <c:numCache>
                <c:formatCode>General</c:formatCode>
                <c:ptCount val="10"/>
                <c:pt idx="0">
                  <c:v>187.97</c:v>
                </c:pt>
                <c:pt idx="1">
                  <c:v>185.23</c:v>
                </c:pt>
                <c:pt idx="2">
                  <c:v>192.54</c:v>
                </c:pt>
                <c:pt idx="3">
                  <c:v>140.81</c:v>
                </c:pt>
                <c:pt idx="4">
                  <c:v>193.04</c:v>
                </c:pt>
                <c:pt idx="5">
                  <c:v>217.08</c:v>
                </c:pt>
                <c:pt idx="6">
                  <c:v>213.34</c:v>
                </c:pt>
                <c:pt idx="7">
                  <c:v>178.8</c:v>
                </c:pt>
                <c:pt idx="8">
                  <c:v>158.12</c:v>
                </c:pt>
                <c:pt idx="9">
                  <c:v>174.13</c:v>
                </c:pt>
              </c:numCache>
            </c:numRef>
          </c:val>
        </c:ser>
        <c:ser>
          <c:idx val="3"/>
          <c:order val="3"/>
          <c:tx>
            <c:strRef>
              <c:f>Sheet1!$E$119</c:f>
              <c:strCache>
                <c:ptCount val="1"/>
                <c:pt idx="0">
                  <c:v>Lietuva</c:v>
                </c:pt>
              </c:strCache>
            </c:strRef>
          </c:tx>
          <c:marker>
            <c:symbol val="none"/>
          </c:marker>
          <c:cat>
            <c:numRef>
              <c:f>Sheet1!$A$120:$A$129</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Sheet1!$E$120:$E$129</c:f>
              <c:numCache>
                <c:formatCode>General</c:formatCode>
                <c:ptCount val="10"/>
                <c:pt idx="0">
                  <c:v>243.97</c:v>
                </c:pt>
                <c:pt idx="1">
                  <c:v>233.25</c:v>
                </c:pt>
                <c:pt idx="2">
                  <c:v>234.54</c:v>
                </c:pt>
                <c:pt idx="3">
                  <c:v>225.53</c:v>
                </c:pt>
                <c:pt idx="4">
                  <c:v>227.45000000000007</c:v>
                </c:pt>
                <c:pt idx="5">
                  <c:v>228.60999999999999</c:v>
                </c:pt>
                <c:pt idx="6">
                  <c:v>229.51</c:v>
                </c:pt>
                <c:pt idx="7">
                  <c:v>205.17</c:v>
                </c:pt>
                <c:pt idx="8">
                  <c:v>193.51</c:v>
                </c:pt>
                <c:pt idx="9">
                  <c:v>203.36</c:v>
                </c:pt>
              </c:numCache>
            </c:numRef>
          </c:val>
        </c:ser>
        <c:marker val="1"/>
        <c:axId val="76207616"/>
        <c:axId val="76209152"/>
      </c:lineChart>
      <c:catAx>
        <c:axId val="76207616"/>
        <c:scaling>
          <c:orientation val="minMax"/>
        </c:scaling>
        <c:axPos val="b"/>
        <c:numFmt formatCode="General" sourceLinked="1"/>
        <c:majorTickMark val="none"/>
        <c:tickLblPos val="nextTo"/>
        <c:crossAx val="76209152"/>
        <c:crosses val="autoZero"/>
        <c:auto val="1"/>
        <c:lblAlgn val="ctr"/>
        <c:lblOffset val="100"/>
      </c:catAx>
      <c:valAx>
        <c:axId val="76209152"/>
        <c:scaling>
          <c:orientation val="minMax"/>
          <c:min val="120"/>
        </c:scaling>
        <c:axPos val="l"/>
        <c:majorGridlines/>
        <c:numFmt formatCode="General" sourceLinked="1"/>
        <c:majorTickMark val="none"/>
        <c:tickLblPos val="nextTo"/>
        <c:crossAx val="76207616"/>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lt-LT"/>
  <c:style val="5"/>
  <c:chart>
    <c:plotArea>
      <c:layout/>
      <c:barChart>
        <c:barDir val="col"/>
        <c:grouping val="clustered"/>
        <c:ser>
          <c:idx val="0"/>
          <c:order val="0"/>
          <c:spPr>
            <a:solidFill>
              <a:srgbClr val="FF5050"/>
            </a:solidFill>
          </c:spPr>
          <c:dLbls>
            <c:showVal val="1"/>
          </c:dLbls>
          <c:cat>
            <c:strRef>
              <c:f>'2010'!$DZ$9:$DZ$17</c:f>
              <c:strCache>
                <c:ptCount val="9"/>
                <c:pt idx="0">
                  <c:v>Iki 15 m.</c:v>
                </c:pt>
                <c:pt idx="1">
                  <c:v>15-19 m.</c:v>
                </c:pt>
                <c:pt idx="2">
                  <c:v>20-24 m.</c:v>
                </c:pt>
                <c:pt idx="3">
                  <c:v>25-29 m.</c:v>
                </c:pt>
                <c:pt idx="4">
                  <c:v>30-34 m.</c:v>
                </c:pt>
                <c:pt idx="5">
                  <c:v>35-39 m.</c:v>
                </c:pt>
                <c:pt idx="6">
                  <c:v>40-44 m.</c:v>
                </c:pt>
                <c:pt idx="7">
                  <c:v>45-49 m.</c:v>
                </c:pt>
                <c:pt idx="8">
                  <c:v>50 ir vyresni</c:v>
                </c:pt>
              </c:strCache>
            </c:strRef>
          </c:cat>
          <c:val>
            <c:numRef>
              <c:f>'2010'!$EB$9:$EB$17</c:f>
              <c:numCache>
                <c:formatCode>General</c:formatCode>
                <c:ptCount val="9"/>
                <c:pt idx="0">
                  <c:v>1</c:v>
                </c:pt>
                <c:pt idx="1">
                  <c:v>41</c:v>
                </c:pt>
                <c:pt idx="2">
                  <c:v>225</c:v>
                </c:pt>
                <c:pt idx="3">
                  <c:v>438</c:v>
                </c:pt>
                <c:pt idx="4">
                  <c:v>310</c:v>
                </c:pt>
                <c:pt idx="5">
                  <c:v>116</c:v>
                </c:pt>
                <c:pt idx="6">
                  <c:v>27</c:v>
                </c:pt>
                <c:pt idx="7">
                  <c:v>2</c:v>
                </c:pt>
                <c:pt idx="8">
                  <c:v>0</c:v>
                </c:pt>
              </c:numCache>
            </c:numRef>
          </c:val>
        </c:ser>
        <c:dLbls>
          <c:showVal val="1"/>
        </c:dLbls>
        <c:axId val="79897728"/>
        <c:axId val="79899264"/>
      </c:barChart>
      <c:catAx>
        <c:axId val="79897728"/>
        <c:scaling>
          <c:orientation val="minMax"/>
        </c:scaling>
        <c:axPos val="b"/>
        <c:tickLblPos val="nextTo"/>
        <c:txPr>
          <a:bodyPr/>
          <a:lstStyle/>
          <a:p>
            <a:pPr>
              <a:defRPr lang="en-US"/>
            </a:pPr>
            <a:endParaRPr lang="lt-LT"/>
          </a:p>
        </c:txPr>
        <c:crossAx val="79899264"/>
        <c:crosses val="autoZero"/>
        <c:auto val="1"/>
        <c:lblAlgn val="ctr"/>
        <c:lblOffset val="100"/>
      </c:catAx>
      <c:valAx>
        <c:axId val="79899264"/>
        <c:scaling>
          <c:orientation val="minMax"/>
        </c:scaling>
        <c:axPos val="l"/>
        <c:majorGridlines/>
        <c:numFmt formatCode="General" sourceLinked="1"/>
        <c:tickLblPos val="nextTo"/>
        <c:txPr>
          <a:bodyPr/>
          <a:lstStyle/>
          <a:p>
            <a:pPr>
              <a:defRPr lang="en-US"/>
            </a:pPr>
            <a:endParaRPr lang="lt-LT"/>
          </a:p>
        </c:txPr>
        <c:crossAx val="79897728"/>
        <c:crosses val="autoZero"/>
        <c:crossBetween val="between"/>
      </c:valAx>
    </c:plotArea>
    <c:plotVisOnly val="1"/>
    <c:dispBlanksAs val="gap"/>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lineChart>
        <c:grouping val="standard"/>
        <c:ser>
          <c:idx val="0"/>
          <c:order val="0"/>
          <c:tx>
            <c:strRef>
              <c:f>Sheet1!$B$134</c:f>
              <c:strCache>
                <c:ptCount val="1"/>
                <c:pt idx="0">
                  <c:v>Šalčininkų r.</c:v>
                </c:pt>
              </c:strCache>
            </c:strRef>
          </c:tx>
          <c:marker>
            <c:symbol val="none"/>
          </c:marker>
          <c:cat>
            <c:numRef>
              <c:f>Sheet1!$A$135:$A$144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Sheet1!$B$135:$B$144</c:f>
              <c:numCache>
                <c:formatCode>General</c:formatCode>
                <c:ptCount val="10"/>
                <c:pt idx="0">
                  <c:v>94.83</c:v>
                </c:pt>
                <c:pt idx="1">
                  <c:v>104.14999999999999</c:v>
                </c:pt>
                <c:pt idx="2">
                  <c:v>111.82</c:v>
                </c:pt>
                <c:pt idx="3">
                  <c:v>99.210000000000022</c:v>
                </c:pt>
                <c:pt idx="4">
                  <c:v>83.89</c:v>
                </c:pt>
                <c:pt idx="5">
                  <c:v>24.19</c:v>
                </c:pt>
                <c:pt idx="6">
                  <c:v>110.56</c:v>
                </c:pt>
                <c:pt idx="7">
                  <c:v>101.66</c:v>
                </c:pt>
                <c:pt idx="8">
                  <c:v>90.75</c:v>
                </c:pt>
                <c:pt idx="9">
                  <c:v>100.36999999999999</c:v>
                </c:pt>
              </c:numCache>
            </c:numRef>
          </c:val>
        </c:ser>
        <c:ser>
          <c:idx val="1"/>
          <c:order val="1"/>
          <c:tx>
            <c:strRef>
              <c:f>Sheet1!$C$134</c:f>
              <c:strCache>
                <c:ptCount val="1"/>
                <c:pt idx="0">
                  <c:v>Trakų r.</c:v>
                </c:pt>
              </c:strCache>
            </c:strRef>
          </c:tx>
          <c:marker>
            <c:symbol val="none"/>
          </c:marker>
          <c:cat>
            <c:numRef>
              <c:f>Sheet1!$A$135:$A$144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Sheet1!$C$135:$C$144</c:f>
              <c:numCache>
                <c:formatCode>General</c:formatCode>
                <c:ptCount val="10"/>
                <c:pt idx="0">
                  <c:v>131.85000000000079</c:v>
                </c:pt>
                <c:pt idx="1">
                  <c:v>125.34</c:v>
                </c:pt>
                <c:pt idx="2">
                  <c:v>81.5</c:v>
                </c:pt>
                <c:pt idx="3">
                  <c:v>133.93</c:v>
                </c:pt>
                <c:pt idx="4">
                  <c:v>113.27</c:v>
                </c:pt>
                <c:pt idx="5">
                  <c:v>107.33</c:v>
                </c:pt>
                <c:pt idx="6">
                  <c:v>123.23</c:v>
                </c:pt>
                <c:pt idx="7">
                  <c:v>93.82</c:v>
                </c:pt>
                <c:pt idx="8">
                  <c:v>85.63</c:v>
                </c:pt>
                <c:pt idx="9">
                  <c:v>103.21000000000002</c:v>
                </c:pt>
              </c:numCache>
            </c:numRef>
          </c:val>
        </c:ser>
        <c:ser>
          <c:idx val="2"/>
          <c:order val="2"/>
          <c:tx>
            <c:strRef>
              <c:f>Sheet1!$D$134</c:f>
              <c:strCache>
                <c:ptCount val="1"/>
                <c:pt idx="0">
                  <c:v>Vilniaus r.</c:v>
                </c:pt>
              </c:strCache>
            </c:strRef>
          </c:tx>
          <c:marker>
            <c:symbol val="none"/>
          </c:marker>
          <c:cat>
            <c:numRef>
              <c:f>Sheet1!$A$135:$A$144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Sheet1!$D$135:$D$144</c:f>
              <c:numCache>
                <c:formatCode>General</c:formatCode>
                <c:ptCount val="10"/>
                <c:pt idx="0">
                  <c:v>182.62</c:v>
                </c:pt>
                <c:pt idx="1">
                  <c:v>171.26999999999998</c:v>
                </c:pt>
                <c:pt idx="2">
                  <c:v>174.59</c:v>
                </c:pt>
                <c:pt idx="3">
                  <c:v>140.54</c:v>
                </c:pt>
                <c:pt idx="4">
                  <c:v>190.83</c:v>
                </c:pt>
                <c:pt idx="5">
                  <c:v>178.07</c:v>
                </c:pt>
                <c:pt idx="6">
                  <c:v>174.81</c:v>
                </c:pt>
                <c:pt idx="7">
                  <c:v>106.94000000000032</c:v>
                </c:pt>
                <c:pt idx="8">
                  <c:v>108.24000000000002</c:v>
                </c:pt>
                <c:pt idx="9">
                  <c:v>117</c:v>
                </c:pt>
              </c:numCache>
            </c:numRef>
          </c:val>
        </c:ser>
        <c:ser>
          <c:idx val="3"/>
          <c:order val="3"/>
          <c:tx>
            <c:strRef>
              <c:f>Sheet1!$E$134</c:f>
              <c:strCache>
                <c:ptCount val="1"/>
                <c:pt idx="0">
                  <c:v>Lietuva</c:v>
                </c:pt>
              </c:strCache>
            </c:strRef>
          </c:tx>
          <c:marker>
            <c:symbol val="none"/>
          </c:marker>
          <c:cat>
            <c:numRef>
              <c:f>Sheet1!$A$135:$A$144</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Sheet1!$E$135:$E$144</c:f>
              <c:numCache>
                <c:formatCode>General</c:formatCode>
                <c:ptCount val="10"/>
                <c:pt idx="0">
                  <c:v>193.79</c:v>
                </c:pt>
                <c:pt idx="1">
                  <c:v>186.58</c:v>
                </c:pt>
                <c:pt idx="2">
                  <c:v>182.41</c:v>
                </c:pt>
                <c:pt idx="3">
                  <c:v>182.8</c:v>
                </c:pt>
                <c:pt idx="4">
                  <c:v>174.95000000000007</c:v>
                </c:pt>
                <c:pt idx="5">
                  <c:v>150.41999999999999</c:v>
                </c:pt>
                <c:pt idx="6">
                  <c:v>144.15</c:v>
                </c:pt>
                <c:pt idx="7">
                  <c:v>112.05</c:v>
                </c:pt>
                <c:pt idx="8">
                  <c:v>115.22</c:v>
                </c:pt>
                <c:pt idx="9">
                  <c:v>115.86999999999999</c:v>
                </c:pt>
              </c:numCache>
            </c:numRef>
          </c:val>
        </c:ser>
        <c:marker val="1"/>
        <c:axId val="76244864"/>
        <c:axId val="76246400"/>
      </c:lineChart>
      <c:catAx>
        <c:axId val="76244864"/>
        <c:scaling>
          <c:orientation val="minMax"/>
        </c:scaling>
        <c:axPos val="b"/>
        <c:numFmt formatCode="General" sourceLinked="1"/>
        <c:majorTickMark val="none"/>
        <c:tickLblPos val="nextTo"/>
        <c:crossAx val="76246400"/>
        <c:crosses val="autoZero"/>
        <c:auto val="1"/>
        <c:lblAlgn val="ctr"/>
        <c:lblOffset val="100"/>
      </c:catAx>
      <c:valAx>
        <c:axId val="76246400"/>
        <c:scaling>
          <c:orientation val="minMax"/>
        </c:scaling>
        <c:axPos val="l"/>
        <c:majorGridlines/>
        <c:numFmt formatCode="General" sourceLinked="1"/>
        <c:majorTickMark val="none"/>
        <c:tickLblPos val="nextTo"/>
        <c:crossAx val="76244864"/>
        <c:crosses val="autoZero"/>
        <c:crossBetween val="between"/>
      </c:valAx>
      <c:dTable>
        <c:showHorzBorder val="1"/>
        <c:showVertBorder val="1"/>
        <c:showOutline val="1"/>
        <c:showKeys val="1"/>
      </c:dTable>
    </c:plotArea>
    <c:plotVisOnly val="1"/>
  </c:chart>
  <c:txPr>
    <a:bodyPr/>
    <a:lstStyle/>
    <a:p>
      <a:pPr>
        <a:defRPr>
          <a:latin typeface="Times New Roman" pitchFamily="18" charset="0"/>
          <a:cs typeface="Times New Roman" pitchFamily="18" charset="0"/>
        </a:defRPr>
      </a:pPr>
      <a:endParaRPr lang="lt-LT"/>
    </a:p>
  </c:txPr>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manualLayout>
          <c:layoutTarget val="inner"/>
          <c:xMode val="edge"/>
          <c:yMode val="edge"/>
          <c:x val="5.4757053217810533E-2"/>
          <c:y val="8.2519540429347213E-2"/>
          <c:w val="0.91179013913583384"/>
          <c:h val="0.79130568389694966"/>
        </c:manualLayout>
      </c:layout>
      <c:barChart>
        <c:barDir val="col"/>
        <c:grouping val="clustered"/>
        <c:ser>
          <c:idx val="0"/>
          <c:order val="0"/>
          <c:tx>
            <c:strRef>
              <c:f>profilakt2010!$A$5</c:f>
              <c:strCache>
                <c:ptCount val="1"/>
                <c:pt idx="0">
                  <c:v>2010</c:v>
                </c:pt>
              </c:strCache>
            </c:strRef>
          </c:tx>
          <c:dLbls>
            <c:dLbl>
              <c:idx val="0"/>
              <c:layout>
                <c:manualLayout>
                  <c:x val="1.9115890083632139E-2"/>
                  <c:y val="-3.4090909090909088E-2"/>
                </c:manualLayout>
              </c:layout>
              <c:dLblPos val="outEnd"/>
              <c:showVal val="1"/>
            </c:dLbl>
            <c:dLbl>
              <c:idx val="1"/>
              <c:layout>
                <c:manualLayout>
                  <c:x val="1.6726403823178023E-2"/>
                  <c:y val="-3.0303030303030311E-2"/>
                </c:manualLayout>
              </c:layout>
              <c:dLblPos val="outEnd"/>
              <c:showVal val="1"/>
            </c:dLbl>
            <c:dLbl>
              <c:idx val="2"/>
              <c:layout>
                <c:manualLayout>
                  <c:x val="2.150537634408603E-2"/>
                  <c:y val="-3.0303030303030311E-2"/>
                </c:manualLayout>
              </c:layout>
              <c:dLblPos val="outEnd"/>
              <c:showVal val="1"/>
            </c:dLbl>
            <c:dLbl>
              <c:idx val="3"/>
              <c:layout>
                <c:manualLayout>
                  <c:x val="2.8673835125448143E-2"/>
                  <c:y val="-2.2727272727273016E-2"/>
                </c:manualLayout>
              </c:layout>
              <c:dLblPos val="outEnd"/>
              <c:showVal val="1"/>
            </c:dLbl>
            <c:showVal val="1"/>
          </c:dLbls>
          <c:cat>
            <c:strRef>
              <c:f>profilakt2010!$B$4:$E$4</c:f>
              <c:strCache>
                <c:ptCount val="4"/>
                <c:pt idx="0">
                  <c:v>Šalčininkų r.</c:v>
                </c:pt>
                <c:pt idx="1">
                  <c:v>Trakų r.</c:v>
                </c:pt>
                <c:pt idx="2">
                  <c:v>Vilniaus r.</c:v>
                </c:pt>
                <c:pt idx="3">
                  <c:v>Vilnius</c:v>
                </c:pt>
              </c:strCache>
            </c:strRef>
          </c:cat>
          <c:val>
            <c:numRef>
              <c:f>profilakt2010!$B$5:$E$5</c:f>
              <c:numCache>
                <c:formatCode>General</c:formatCode>
                <c:ptCount val="4"/>
                <c:pt idx="0">
                  <c:v>2.29</c:v>
                </c:pt>
                <c:pt idx="1">
                  <c:v>22.959999999999987</c:v>
                </c:pt>
                <c:pt idx="2">
                  <c:v>15.73</c:v>
                </c:pt>
                <c:pt idx="3">
                  <c:v>17.59</c:v>
                </c:pt>
              </c:numCache>
            </c:numRef>
          </c:val>
        </c:ser>
        <c:axId val="76280192"/>
        <c:axId val="76281728"/>
      </c:barChart>
      <c:catAx>
        <c:axId val="76280192"/>
        <c:scaling>
          <c:orientation val="minMax"/>
        </c:scaling>
        <c:axPos val="b"/>
        <c:numFmt formatCode="General" sourceLinked="1"/>
        <c:majorTickMark val="none"/>
        <c:tickLblPos val="nextTo"/>
        <c:crossAx val="76281728"/>
        <c:crosses val="autoZero"/>
        <c:auto val="1"/>
        <c:lblAlgn val="ctr"/>
        <c:lblOffset val="100"/>
      </c:catAx>
      <c:valAx>
        <c:axId val="76281728"/>
        <c:scaling>
          <c:orientation val="minMax"/>
        </c:scaling>
        <c:axPos val="l"/>
        <c:majorGridlines/>
        <c:numFmt formatCode="General" sourceLinked="1"/>
        <c:majorTickMark val="none"/>
        <c:tickLblPos val="nextTo"/>
        <c:crossAx val="76280192"/>
        <c:crosses val="autoZero"/>
        <c:crossBetween val="between"/>
      </c:valAx>
    </c:plotArea>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profilakt2010!$A$28</c:f>
              <c:strCache>
                <c:ptCount val="1"/>
                <c:pt idx="0">
                  <c:v>2010</c:v>
                </c:pt>
              </c:strCache>
            </c:strRef>
          </c:tx>
          <c:dLbls>
            <c:showVal val="1"/>
          </c:dLbls>
          <c:cat>
            <c:strRef>
              <c:f>profilakt2010!$B$27:$E$27</c:f>
              <c:strCache>
                <c:ptCount val="4"/>
                <c:pt idx="0">
                  <c:v>Šalčininkų r.</c:v>
                </c:pt>
                <c:pt idx="1">
                  <c:v>Trakų r.</c:v>
                </c:pt>
                <c:pt idx="2">
                  <c:v>Vilniaus r.</c:v>
                </c:pt>
                <c:pt idx="3">
                  <c:v>Vilnius</c:v>
                </c:pt>
              </c:strCache>
            </c:strRef>
          </c:cat>
          <c:val>
            <c:numRef>
              <c:f>profilakt2010!$B$28:$E$28</c:f>
              <c:numCache>
                <c:formatCode>General</c:formatCode>
                <c:ptCount val="4"/>
                <c:pt idx="0">
                  <c:v>9.620000000000001</c:v>
                </c:pt>
                <c:pt idx="1">
                  <c:v>21.759999999999987</c:v>
                </c:pt>
                <c:pt idx="2">
                  <c:v>17.59</c:v>
                </c:pt>
                <c:pt idx="3">
                  <c:v>15.89</c:v>
                </c:pt>
              </c:numCache>
            </c:numRef>
          </c:val>
        </c:ser>
        <c:axId val="76321920"/>
        <c:axId val="76323456"/>
      </c:barChart>
      <c:catAx>
        <c:axId val="76321920"/>
        <c:scaling>
          <c:orientation val="minMax"/>
        </c:scaling>
        <c:axPos val="b"/>
        <c:numFmt formatCode="General" sourceLinked="1"/>
        <c:tickLblPos val="nextTo"/>
        <c:crossAx val="76323456"/>
        <c:crosses val="autoZero"/>
        <c:auto val="1"/>
        <c:lblAlgn val="ctr"/>
        <c:lblOffset val="100"/>
      </c:catAx>
      <c:valAx>
        <c:axId val="76323456"/>
        <c:scaling>
          <c:orientation val="minMax"/>
        </c:scaling>
        <c:axPos val="l"/>
        <c:majorGridlines/>
        <c:numFmt formatCode="General" sourceLinked="1"/>
        <c:tickLblPos val="nextTo"/>
        <c:crossAx val="7632192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profilakt2010!$A$32</c:f>
              <c:strCache>
                <c:ptCount val="1"/>
                <c:pt idx="0">
                  <c:v>2010</c:v>
                </c:pt>
              </c:strCache>
            </c:strRef>
          </c:tx>
          <c:dLbls>
            <c:showVal val="1"/>
          </c:dLbls>
          <c:cat>
            <c:strRef>
              <c:f>profilakt2010!$B$31:$E$31</c:f>
              <c:strCache>
                <c:ptCount val="4"/>
                <c:pt idx="0">
                  <c:v>Šalčininkų r.</c:v>
                </c:pt>
                <c:pt idx="1">
                  <c:v>Trakų r.</c:v>
                </c:pt>
                <c:pt idx="2">
                  <c:v>Vilniaus r.</c:v>
                </c:pt>
                <c:pt idx="3">
                  <c:v>Vilnius</c:v>
                </c:pt>
              </c:strCache>
            </c:strRef>
          </c:cat>
          <c:val>
            <c:numRef>
              <c:f>profilakt2010!$B$32:$E$32</c:f>
              <c:numCache>
                <c:formatCode>General</c:formatCode>
                <c:ptCount val="4"/>
                <c:pt idx="0">
                  <c:v>9.5400000000000009</c:v>
                </c:pt>
                <c:pt idx="1">
                  <c:v>10.88</c:v>
                </c:pt>
                <c:pt idx="2">
                  <c:v>12.22</c:v>
                </c:pt>
                <c:pt idx="3">
                  <c:v>12.05</c:v>
                </c:pt>
              </c:numCache>
            </c:numRef>
          </c:val>
        </c:ser>
        <c:axId val="76330880"/>
        <c:axId val="76332416"/>
      </c:barChart>
      <c:catAx>
        <c:axId val="76330880"/>
        <c:scaling>
          <c:orientation val="minMax"/>
        </c:scaling>
        <c:axPos val="b"/>
        <c:numFmt formatCode="General" sourceLinked="1"/>
        <c:majorTickMark val="none"/>
        <c:tickLblPos val="nextTo"/>
        <c:crossAx val="76332416"/>
        <c:crosses val="autoZero"/>
        <c:auto val="1"/>
        <c:lblAlgn val="ctr"/>
        <c:lblOffset val="100"/>
      </c:catAx>
      <c:valAx>
        <c:axId val="76332416"/>
        <c:scaling>
          <c:orientation val="minMax"/>
        </c:scaling>
        <c:axPos val="l"/>
        <c:majorGridlines/>
        <c:numFmt formatCode="General" sourceLinked="1"/>
        <c:majorTickMark val="none"/>
        <c:tickLblPos val="nextTo"/>
        <c:crossAx val="7633088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profilakt2010!$A$58</c:f>
              <c:strCache>
                <c:ptCount val="1"/>
                <c:pt idx="0">
                  <c:v>2010</c:v>
                </c:pt>
              </c:strCache>
            </c:strRef>
          </c:tx>
          <c:dLbls>
            <c:showVal val="1"/>
          </c:dLbls>
          <c:cat>
            <c:strRef>
              <c:f>profilakt2010!$B$57:$E$57</c:f>
              <c:strCache>
                <c:ptCount val="4"/>
                <c:pt idx="0">
                  <c:v>Šalčininkų r.</c:v>
                </c:pt>
                <c:pt idx="1">
                  <c:v>Trakų r.</c:v>
                </c:pt>
                <c:pt idx="2">
                  <c:v>Vilniaus r.</c:v>
                </c:pt>
                <c:pt idx="3">
                  <c:v>Vilnius</c:v>
                </c:pt>
              </c:strCache>
            </c:strRef>
          </c:cat>
          <c:val>
            <c:numRef>
              <c:f>profilakt2010!$B$58:$E$58</c:f>
              <c:numCache>
                <c:formatCode>General</c:formatCode>
                <c:ptCount val="4"/>
                <c:pt idx="0">
                  <c:v>8.98</c:v>
                </c:pt>
                <c:pt idx="1">
                  <c:v>21.16</c:v>
                </c:pt>
                <c:pt idx="2">
                  <c:v>21.19</c:v>
                </c:pt>
                <c:pt idx="3">
                  <c:v>21.49</c:v>
                </c:pt>
              </c:numCache>
            </c:numRef>
          </c:val>
        </c:ser>
        <c:axId val="37755520"/>
        <c:axId val="37757312"/>
      </c:barChart>
      <c:catAx>
        <c:axId val="37755520"/>
        <c:scaling>
          <c:orientation val="minMax"/>
        </c:scaling>
        <c:axPos val="b"/>
        <c:numFmt formatCode="General" sourceLinked="1"/>
        <c:tickLblPos val="nextTo"/>
        <c:crossAx val="37757312"/>
        <c:crosses val="autoZero"/>
        <c:auto val="1"/>
        <c:lblAlgn val="ctr"/>
        <c:lblOffset val="100"/>
      </c:catAx>
      <c:valAx>
        <c:axId val="37757312"/>
        <c:scaling>
          <c:orientation val="minMax"/>
        </c:scaling>
        <c:axPos val="l"/>
        <c:majorGridlines/>
        <c:numFmt formatCode="General" sourceLinked="1"/>
        <c:tickLblPos val="nextTo"/>
        <c:crossAx val="3775552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profilakt2010!$A$79</c:f>
              <c:strCache>
                <c:ptCount val="1"/>
                <c:pt idx="0">
                  <c:v>2010</c:v>
                </c:pt>
              </c:strCache>
            </c:strRef>
          </c:tx>
          <c:dLbls>
            <c:showVal val="1"/>
          </c:dLbls>
          <c:cat>
            <c:strRef>
              <c:f>profilakt2010!$B$78:$E$78</c:f>
              <c:strCache>
                <c:ptCount val="4"/>
                <c:pt idx="0">
                  <c:v>Šalčininkų r.</c:v>
                </c:pt>
                <c:pt idx="1">
                  <c:v>Trakų r.</c:v>
                </c:pt>
                <c:pt idx="2">
                  <c:v>Vilniaus r.</c:v>
                </c:pt>
                <c:pt idx="3">
                  <c:v>Vilnius</c:v>
                </c:pt>
              </c:strCache>
            </c:strRef>
          </c:cat>
          <c:val>
            <c:numRef>
              <c:f>profilakt2010!$B$79:$E$79</c:f>
              <c:numCache>
                <c:formatCode>General</c:formatCode>
                <c:ptCount val="4"/>
                <c:pt idx="0">
                  <c:v>3.96</c:v>
                </c:pt>
                <c:pt idx="1">
                  <c:v>24.47</c:v>
                </c:pt>
                <c:pt idx="2">
                  <c:v>19.87</c:v>
                </c:pt>
                <c:pt idx="3">
                  <c:v>25.67</c:v>
                </c:pt>
              </c:numCache>
            </c:numRef>
          </c:val>
        </c:ser>
        <c:axId val="37764480"/>
        <c:axId val="37786752"/>
      </c:barChart>
      <c:catAx>
        <c:axId val="37764480"/>
        <c:scaling>
          <c:orientation val="minMax"/>
        </c:scaling>
        <c:axPos val="b"/>
        <c:numFmt formatCode="General" sourceLinked="1"/>
        <c:tickLblPos val="nextTo"/>
        <c:crossAx val="37786752"/>
        <c:crosses val="autoZero"/>
        <c:auto val="1"/>
        <c:lblAlgn val="ctr"/>
        <c:lblOffset val="100"/>
      </c:catAx>
      <c:valAx>
        <c:axId val="37786752"/>
        <c:scaling>
          <c:orientation val="minMax"/>
        </c:scaling>
        <c:axPos val="l"/>
        <c:majorGridlines/>
        <c:numFmt formatCode="General" sourceLinked="1"/>
        <c:tickLblPos val="nextTo"/>
        <c:crossAx val="3776448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profilakt2010!$A$83</c:f>
              <c:strCache>
                <c:ptCount val="1"/>
                <c:pt idx="0">
                  <c:v>2010</c:v>
                </c:pt>
              </c:strCache>
            </c:strRef>
          </c:tx>
          <c:dLbls>
            <c:showVal val="1"/>
          </c:dLbls>
          <c:cat>
            <c:strRef>
              <c:f>profilakt2010!$B$82:$E$82</c:f>
              <c:strCache>
                <c:ptCount val="4"/>
                <c:pt idx="0">
                  <c:v>Šalčininkų r.</c:v>
                </c:pt>
                <c:pt idx="1">
                  <c:v>Trakų r.</c:v>
                </c:pt>
                <c:pt idx="2">
                  <c:v>Vilniaus r.</c:v>
                </c:pt>
                <c:pt idx="3">
                  <c:v>Vilnius</c:v>
                </c:pt>
              </c:strCache>
            </c:strRef>
          </c:cat>
          <c:val>
            <c:numRef>
              <c:f>profilakt2010!$B$83:$E$83</c:f>
              <c:numCache>
                <c:formatCode>General</c:formatCode>
                <c:ptCount val="4"/>
                <c:pt idx="0">
                  <c:v>0.63000000000000345</c:v>
                </c:pt>
                <c:pt idx="1">
                  <c:v>1.6300000000000001</c:v>
                </c:pt>
                <c:pt idx="2">
                  <c:v>0.46</c:v>
                </c:pt>
                <c:pt idx="3">
                  <c:v>1.1100000000000001</c:v>
                </c:pt>
              </c:numCache>
            </c:numRef>
          </c:val>
        </c:ser>
        <c:axId val="76358016"/>
        <c:axId val="76359552"/>
      </c:barChart>
      <c:catAx>
        <c:axId val="76358016"/>
        <c:scaling>
          <c:orientation val="minMax"/>
        </c:scaling>
        <c:axPos val="b"/>
        <c:numFmt formatCode="General" sourceLinked="1"/>
        <c:tickLblPos val="nextTo"/>
        <c:crossAx val="76359552"/>
        <c:crosses val="autoZero"/>
        <c:auto val="1"/>
        <c:lblAlgn val="ctr"/>
        <c:lblOffset val="100"/>
      </c:catAx>
      <c:valAx>
        <c:axId val="76359552"/>
        <c:scaling>
          <c:orientation val="minMax"/>
        </c:scaling>
        <c:axPos val="l"/>
        <c:majorGridlines/>
        <c:numFmt formatCode="General" sourceLinked="1"/>
        <c:tickLblPos val="nextTo"/>
        <c:crossAx val="76358016"/>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tx>
            <c:strRef>
              <c:f>profilakt2010!$A$115</c:f>
              <c:strCache>
                <c:ptCount val="1"/>
                <c:pt idx="0">
                  <c:v>2010</c:v>
                </c:pt>
              </c:strCache>
            </c:strRef>
          </c:tx>
          <c:dLbls>
            <c:showVal val="1"/>
          </c:dLbls>
          <c:cat>
            <c:strRef>
              <c:f>profilakt2010!$B$114:$E$114</c:f>
              <c:strCache>
                <c:ptCount val="4"/>
                <c:pt idx="0">
                  <c:v>Šalčininkų r.</c:v>
                </c:pt>
                <c:pt idx="1">
                  <c:v>Trakų r.</c:v>
                </c:pt>
                <c:pt idx="2">
                  <c:v>Vilniaus r.</c:v>
                </c:pt>
                <c:pt idx="3">
                  <c:v>Vilnius</c:v>
                </c:pt>
              </c:strCache>
            </c:strRef>
          </c:cat>
          <c:val>
            <c:numRef>
              <c:f>profilakt2010!$B$115:$E$115</c:f>
              <c:numCache>
                <c:formatCode>General</c:formatCode>
                <c:ptCount val="4"/>
                <c:pt idx="0">
                  <c:v>6.41</c:v>
                </c:pt>
                <c:pt idx="1">
                  <c:v>28.279999999999987</c:v>
                </c:pt>
                <c:pt idx="2">
                  <c:v>16.36</c:v>
                </c:pt>
                <c:pt idx="3">
                  <c:v>21.23</c:v>
                </c:pt>
              </c:numCache>
            </c:numRef>
          </c:val>
        </c:ser>
        <c:axId val="76383360"/>
        <c:axId val="76384896"/>
      </c:barChart>
      <c:catAx>
        <c:axId val="76383360"/>
        <c:scaling>
          <c:orientation val="minMax"/>
        </c:scaling>
        <c:axPos val="b"/>
        <c:numFmt formatCode="General" sourceLinked="1"/>
        <c:tickLblPos val="nextTo"/>
        <c:crossAx val="76384896"/>
        <c:crosses val="autoZero"/>
        <c:auto val="1"/>
        <c:lblAlgn val="ctr"/>
        <c:lblOffset val="100"/>
      </c:catAx>
      <c:valAx>
        <c:axId val="76384896"/>
        <c:scaling>
          <c:orientation val="minMax"/>
        </c:scaling>
        <c:axPos val="l"/>
        <c:majorGridlines/>
        <c:numFmt formatCode="General" sourceLinked="1"/>
        <c:tickLblPos val="nextTo"/>
        <c:crossAx val="76383360"/>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barChart>
        <c:barDir val="col"/>
        <c:grouping val="clustered"/>
        <c:ser>
          <c:idx val="0"/>
          <c:order val="0"/>
          <c:dLbls>
            <c:dLbl>
              <c:idx val="2"/>
              <c:spPr>
                <a:effectLst>
                  <a:outerShdw blurRad="50800" dist="50800" dir="5400000" algn="ctr" rotWithShape="0">
                    <a:schemeClr val="accent6">
                      <a:lumMod val="75000"/>
                    </a:schemeClr>
                  </a:outerShdw>
                </a:effectLst>
              </c:spPr>
              <c:txPr>
                <a:bodyPr/>
                <a:lstStyle/>
                <a:p>
                  <a:pPr>
                    <a:defRPr/>
                  </a:pPr>
                  <a:endParaRPr lang="lt-LT"/>
                </a:p>
              </c:txPr>
            </c:dLbl>
            <c:showVal val="1"/>
          </c:dLbls>
          <c:cat>
            <c:strRef>
              <c:f>profilakt2010!$B$136:$E$136</c:f>
              <c:strCache>
                <c:ptCount val="4"/>
                <c:pt idx="0">
                  <c:v>Šalčininkų r.</c:v>
                </c:pt>
                <c:pt idx="1">
                  <c:v>Trakų r.</c:v>
                </c:pt>
                <c:pt idx="2">
                  <c:v>Vilniaus r.</c:v>
                </c:pt>
                <c:pt idx="3">
                  <c:v>Vilnius</c:v>
                </c:pt>
              </c:strCache>
            </c:strRef>
          </c:cat>
          <c:val>
            <c:numRef>
              <c:f>profilakt2010!$B$137:$E$137</c:f>
              <c:numCache>
                <c:formatCode>General</c:formatCode>
                <c:ptCount val="4"/>
                <c:pt idx="0">
                  <c:v>27.74</c:v>
                </c:pt>
                <c:pt idx="1">
                  <c:v>22.06</c:v>
                </c:pt>
                <c:pt idx="2">
                  <c:v>23.97</c:v>
                </c:pt>
                <c:pt idx="3">
                  <c:v>15.51</c:v>
                </c:pt>
              </c:numCache>
            </c:numRef>
          </c:val>
        </c:ser>
        <c:axId val="37820672"/>
        <c:axId val="37826560"/>
      </c:barChart>
      <c:catAx>
        <c:axId val="37820672"/>
        <c:scaling>
          <c:orientation val="minMax"/>
        </c:scaling>
        <c:axPos val="b"/>
        <c:numFmt formatCode="General" sourceLinked="1"/>
        <c:majorTickMark val="none"/>
        <c:tickLblPos val="nextTo"/>
        <c:crossAx val="37826560"/>
        <c:crosses val="autoZero"/>
        <c:auto val="1"/>
        <c:lblAlgn val="ctr"/>
        <c:lblOffset val="100"/>
      </c:catAx>
      <c:valAx>
        <c:axId val="37826560"/>
        <c:scaling>
          <c:orientation val="minMax"/>
        </c:scaling>
        <c:axPos val="l"/>
        <c:majorGridlines/>
        <c:numFmt formatCode="General" sourceLinked="1"/>
        <c:majorTickMark val="none"/>
        <c:tickLblPos val="nextTo"/>
        <c:crossAx val="37820672"/>
        <c:crosses val="autoZero"/>
        <c:crossBetween val="between"/>
      </c:valAx>
    </c:plotArea>
    <c:plotVisOnly val="1"/>
    <c:dispBlanksAs val="gap"/>
  </c:chart>
  <c:txPr>
    <a:bodyPr/>
    <a:lstStyle/>
    <a:p>
      <a:pPr>
        <a:defRPr>
          <a:latin typeface="Times New Roman" pitchFamily="18" charset="0"/>
          <a:cs typeface="Times New Roman" pitchFamily="18" charset="0"/>
        </a:defRPr>
      </a:pPr>
      <a:endParaRPr lang="lt-LT"/>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lt-LT"/>
  <c:chart>
    <c:plotArea>
      <c:layout/>
      <c:lineChart>
        <c:grouping val="standard"/>
        <c:ser>
          <c:idx val="0"/>
          <c:order val="0"/>
          <c:tx>
            <c:strRef>
              <c:f>'2010'!$CC$7</c:f>
              <c:strCache>
                <c:ptCount val="1"/>
                <c:pt idx="0">
                  <c:v>VILNIAUS RAJONAS</c:v>
                </c:pt>
              </c:strCache>
            </c:strRef>
          </c:tx>
          <c:spPr>
            <a:ln>
              <a:solidFill>
                <a:srgbClr val="FF5050"/>
              </a:solidFill>
            </a:ln>
          </c:spPr>
          <c:marker>
            <c:symbol val="none"/>
          </c:marker>
          <c:cat>
            <c:numRef>
              <c:f>'2010'!$CA$8:$CA$17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'2010'!$CC$8:$CC$17</c:f>
              <c:numCache>
                <c:formatCode>General</c:formatCode>
                <c:ptCount val="10"/>
                <c:pt idx="0">
                  <c:v>4.4000000000000004</c:v>
                </c:pt>
                <c:pt idx="1">
                  <c:v>7.3</c:v>
                </c:pt>
                <c:pt idx="2">
                  <c:v>5.0999999999999996</c:v>
                </c:pt>
                <c:pt idx="3">
                  <c:v>5.3</c:v>
                </c:pt>
                <c:pt idx="4">
                  <c:v>8.2000000000000011</c:v>
                </c:pt>
                <c:pt idx="5">
                  <c:v>10.3</c:v>
                </c:pt>
                <c:pt idx="6">
                  <c:v>5.7</c:v>
                </c:pt>
                <c:pt idx="7">
                  <c:v>3.7</c:v>
                </c:pt>
                <c:pt idx="8">
                  <c:v>6.5</c:v>
                </c:pt>
                <c:pt idx="9">
                  <c:v>2.6</c:v>
                </c:pt>
              </c:numCache>
            </c:numRef>
          </c:val>
        </c:ser>
        <c:ser>
          <c:idx val="1"/>
          <c:order val="1"/>
          <c:tx>
            <c:strRef>
              <c:f>'2010'!$CG$7</c:f>
              <c:strCache>
                <c:ptCount val="1"/>
                <c:pt idx="0">
                  <c:v>LIETUVA</c:v>
                </c:pt>
              </c:strCache>
            </c:strRef>
          </c:tx>
          <c:spPr>
            <a:ln>
              <a:solidFill>
                <a:schemeClr val="accent3">
                  <a:lumMod val="75000"/>
                </a:schemeClr>
              </a:solidFill>
            </a:ln>
          </c:spPr>
          <c:marker>
            <c:symbol val="none"/>
          </c:marker>
          <c:cat>
            <c:numRef>
              <c:f>'2010'!$CA$8:$CA$17</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'2010'!$CG$8:$CG$17</c:f>
              <c:numCache>
                <c:formatCode>General</c:formatCode>
                <c:ptCount val="10"/>
                <c:pt idx="0">
                  <c:v>7.8</c:v>
                </c:pt>
                <c:pt idx="1">
                  <c:v>7.9</c:v>
                </c:pt>
                <c:pt idx="2">
                  <c:v>6.8</c:v>
                </c:pt>
                <c:pt idx="3">
                  <c:v>7.9</c:v>
                </c:pt>
                <c:pt idx="4">
                  <c:v>6.8</c:v>
                </c:pt>
                <c:pt idx="5">
                  <c:v>6.8</c:v>
                </c:pt>
                <c:pt idx="6">
                  <c:v>5.9</c:v>
                </c:pt>
                <c:pt idx="7">
                  <c:v>5</c:v>
                </c:pt>
                <c:pt idx="8">
                  <c:v>5</c:v>
                </c:pt>
                <c:pt idx="9">
                  <c:v>4.3</c:v>
                </c:pt>
              </c:numCache>
            </c:numRef>
          </c:val>
        </c:ser>
        <c:marker val="1"/>
        <c:axId val="79943936"/>
        <c:axId val="80007168"/>
      </c:lineChart>
      <c:catAx>
        <c:axId val="79943936"/>
        <c:scaling>
          <c:orientation val="minMax"/>
        </c:scaling>
        <c:axPos val="b"/>
        <c:numFmt formatCode="General" sourceLinked="1"/>
        <c:tickLblPos val="nextTo"/>
        <c:txPr>
          <a:bodyPr/>
          <a:lstStyle/>
          <a:p>
            <a:pPr>
              <a:defRPr lang="en-US"/>
            </a:pPr>
            <a:endParaRPr lang="lt-LT"/>
          </a:p>
        </c:txPr>
        <c:crossAx val="80007168"/>
        <c:crosses val="autoZero"/>
        <c:auto val="1"/>
        <c:lblAlgn val="ctr"/>
        <c:lblOffset val="100"/>
      </c:catAx>
      <c:valAx>
        <c:axId val="80007168"/>
        <c:scaling>
          <c:orientation val="minMax"/>
        </c:scaling>
        <c:axPos val="l"/>
        <c:majorGridlines/>
        <c:numFmt formatCode="General" sourceLinked="1"/>
        <c:tickLblPos val="nextTo"/>
        <c:txPr>
          <a:bodyPr/>
          <a:lstStyle/>
          <a:p>
            <a:pPr>
              <a:defRPr lang="en-US"/>
            </a:pPr>
            <a:endParaRPr lang="lt-LT"/>
          </a:p>
        </c:txPr>
        <c:crossAx val="79943936"/>
        <c:crosses val="autoZero"/>
        <c:crossBetween val="between"/>
      </c:valAx>
      <c:dTable>
        <c:showHorzBorder val="1"/>
        <c:showVertBorder val="1"/>
        <c:showOutline val="1"/>
        <c:showKeys val="1"/>
        <c:txPr>
          <a:bodyPr/>
          <a:lstStyle/>
          <a:p>
            <a:pPr rtl="0">
              <a:defRPr lang="en-US"/>
            </a:pPr>
            <a:endParaRPr lang="lt-LT"/>
          </a:p>
        </c:txPr>
      </c:dTable>
    </c:plotArea>
    <c:plotVisOnly val="1"/>
    <c:dispBlanksAs val="gap"/>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lt-LT"/>
  <c:chart>
    <c:plotArea>
      <c:layout/>
      <c:barChart>
        <c:barDir val="col"/>
        <c:grouping val="clustered"/>
        <c:ser>
          <c:idx val="0"/>
          <c:order val="0"/>
          <c:tx>
            <c:strRef>
              <c:f>'2010'!$DM$8</c:f>
              <c:strCache>
                <c:ptCount val="1"/>
                <c:pt idx="0">
                  <c:v>2010.10.01</c:v>
                </c:pt>
              </c:strCache>
            </c:strRef>
          </c:tx>
          <c:spPr>
            <a:solidFill>
              <a:schemeClr val="accent3">
                <a:lumMod val="75000"/>
              </a:schemeClr>
            </a:solidFill>
          </c:spPr>
          <c:dLbls>
            <c:showVal val="1"/>
          </c:dLbls>
          <c:cat>
            <c:strRef>
              <c:f>'2010'!$DN$7:$DR$7</c:f>
              <c:strCache>
                <c:ptCount val="5"/>
                <c:pt idx="0">
                  <c:v>VILNIUS</c:v>
                </c:pt>
                <c:pt idx="1">
                  <c:v>VILNIAUS RAJONAS</c:v>
                </c:pt>
                <c:pt idx="2">
                  <c:v>TRAKŲ RAJONAS</c:v>
                </c:pt>
                <c:pt idx="3">
                  <c:v>ŠALČININKŲ RAJONAS</c:v>
                </c:pt>
                <c:pt idx="4">
                  <c:v>VILNIAUS APSKRITIS</c:v>
                </c:pt>
              </c:strCache>
            </c:strRef>
          </c:cat>
          <c:val>
            <c:numRef>
              <c:f>'2010'!$DN$8:$DR$8</c:f>
              <c:numCache>
                <c:formatCode>General</c:formatCode>
                <c:ptCount val="5"/>
                <c:pt idx="0">
                  <c:v>13.1</c:v>
                </c:pt>
                <c:pt idx="1">
                  <c:v>19.3</c:v>
                </c:pt>
                <c:pt idx="2">
                  <c:v>12.1</c:v>
                </c:pt>
                <c:pt idx="3">
                  <c:v>19.600000000000001</c:v>
                </c:pt>
                <c:pt idx="4">
                  <c:v>14.3</c:v>
                </c:pt>
              </c:numCache>
            </c:numRef>
          </c:val>
        </c:ser>
        <c:ser>
          <c:idx val="1"/>
          <c:order val="1"/>
          <c:tx>
            <c:strRef>
              <c:f>'2010'!$DM$9</c:f>
              <c:strCache>
                <c:ptCount val="1"/>
                <c:pt idx="0">
                  <c:v>2011.10.01</c:v>
                </c:pt>
              </c:strCache>
            </c:strRef>
          </c:tx>
          <c:spPr>
            <a:solidFill>
              <a:srgbClr val="FF5050"/>
            </a:solidFill>
            <a:ln>
              <a:solidFill>
                <a:srgbClr val="C0504D"/>
              </a:solidFill>
            </a:ln>
          </c:spPr>
          <c:dLbls>
            <c:showVal val="1"/>
          </c:dLbls>
          <c:cat>
            <c:strRef>
              <c:f>'2010'!$DN$7:$DR$7</c:f>
              <c:strCache>
                <c:ptCount val="5"/>
                <c:pt idx="0">
                  <c:v>VILNIUS</c:v>
                </c:pt>
                <c:pt idx="1">
                  <c:v>VILNIAUS RAJONAS</c:v>
                </c:pt>
                <c:pt idx="2">
                  <c:v>TRAKŲ RAJONAS</c:v>
                </c:pt>
                <c:pt idx="3">
                  <c:v>ŠALČININKŲ RAJONAS</c:v>
                </c:pt>
                <c:pt idx="4">
                  <c:v>VILNIAUS APSKRITIS</c:v>
                </c:pt>
              </c:strCache>
            </c:strRef>
          </c:cat>
          <c:val>
            <c:numRef>
              <c:f>'2010'!$DN$9:$DR$9</c:f>
              <c:numCache>
                <c:formatCode>General</c:formatCode>
                <c:ptCount val="5"/>
                <c:pt idx="0">
                  <c:v>9.1</c:v>
                </c:pt>
                <c:pt idx="1">
                  <c:v>15.1</c:v>
                </c:pt>
                <c:pt idx="2">
                  <c:v>7.5</c:v>
                </c:pt>
                <c:pt idx="3">
                  <c:v>13</c:v>
                </c:pt>
                <c:pt idx="4">
                  <c:v>9.9</c:v>
                </c:pt>
              </c:numCache>
            </c:numRef>
          </c:val>
        </c:ser>
        <c:dLbls>
          <c:showVal val="1"/>
        </c:dLbls>
        <c:axId val="80648064"/>
        <c:axId val="80649600"/>
      </c:barChart>
      <c:catAx>
        <c:axId val="80648064"/>
        <c:scaling>
          <c:orientation val="minMax"/>
        </c:scaling>
        <c:axPos val="b"/>
        <c:tickLblPos val="nextTo"/>
        <c:txPr>
          <a:bodyPr/>
          <a:lstStyle/>
          <a:p>
            <a:pPr>
              <a:defRPr lang="en-US"/>
            </a:pPr>
            <a:endParaRPr lang="lt-LT"/>
          </a:p>
        </c:txPr>
        <c:crossAx val="80649600"/>
        <c:crosses val="autoZero"/>
        <c:auto val="1"/>
        <c:lblAlgn val="ctr"/>
        <c:lblOffset val="100"/>
      </c:catAx>
      <c:valAx>
        <c:axId val="80649600"/>
        <c:scaling>
          <c:orientation val="minMax"/>
        </c:scaling>
        <c:axPos val="l"/>
        <c:majorGridlines/>
        <c:numFmt formatCode="General" sourceLinked="1"/>
        <c:tickLblPos val="nextTo"/>
        <c:txPr>
          <a:bodyPr/>
          <a:lstStyle/>
          <a:p>
            <a:pPr>
              <a:defRPr lang="en-US"/>
            </a:pPr>
            <a:endParaRPr lang="lt-LT"/>
          </a:p>
        </c:txPr>
        <c:crossAx val="80648064"/>
        <c:crosses val="autoZero"/>
        <c:crossBetween val="between"/>
      </c:valAx>
    </c:plotArea>
    <c:legend>
      <c:legendPos val="r"/>
      <c:txPr>
        <a:bodyPr/>
        <a:lstStyle/>
        <a:p>
          <a:pPr>
            <a:defRPr lang="en-US"/>
          </a:pPr>
          <a:endParaRPr lang="lt-LT"/>
        </a:p>
      </c:txPr>
    </c:legend>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lt-LT"/>
  <c:chart>
    <c:autoTitleDeleted val="1"/>
    <c:plotArea>
      <c:layout>
        <c:manualLayout>
          <c:layoutTarget val="inner"/>
          <c:xMode val="edge"/>
          <c:yMode val="edge"/>
          <c:x val="8.8888888888889767E-2"/>
          <c:y val="9.0277777777777693E-2"/>
          <c:w val="0.50555555555555554"/>
          <c:h val="0.84259259259259855"/>
        </c:manualLayout>
      </c:layout>
      <c:pieChart>
        <c:varyColors val="1"/>
        <c:ser>
          <c:idx val="0"/>
          <c:order val="0"/>
          <c:explosion val="4"/>
          <c:dLbls>
            <c:dLbl>
              <c:idx val="0"/>
              <c:layout>
                <c:manualLayout>
                  <c:x val="-2.1609273089791065E-2"/>
                  <c:y val="-0.24881488772237007"/>
                </c:manualLayout>
              </c:layout>
              <c:tx>
                <c:rich>
                  <a:bodyPr/>
                  <a:lstStyle/>
                  <a:p>
                    <a:r>
                      <a:rPr lang="en-US"/>
                      <a:t>5</a:t>
                    </a:r>
                    <a:r>
                      <a:rPr lang="lt-LT"/>
                      <a:t>1,8</a:t>
                    </a:r>
                    <a:r>
                      <a:rPr lang="en-US"/>
                      <a:t>%</a:t>
                    </a:r>
                  </a:p>
                </c:rich>
              </c:tx>
              <c:showPercent val="1"/>
            </c:dLbl>
            <c:dLbl>
              <c:idx val="1"/>
              <c:layout>
                <c:manualLayout>
                  <c:x val="-1.8420056867891523E-2"/>
                  <c:y val="-1.89428404782736E-2"/>
                </c:manualLayout>
              </c:layout>
              <c:tx>
                <c:rich>
                  <a:bodyPr/>
                  <a:lstStyle/>
                  <a:p>
                    <a:r>
                      <a:rPr lang="en-US"/>
                      <a:t>19</a:t>
                    </a:r>
                    <a:r>
                      <a:rPr lang="lt-LT"/>
                      <a:t>,5</a:t>
                    </a:r>
                    <a:r>
                      <a:rPr lang="en-US"/>
                      <a:t>%</a:t>
                    </a:r>
                  </a:p>
                </c:rich>
              </c:tx>
              <c:showPercent val="1"/>
            </c:dLbl>
            <c:dLbl>
              <c:idx val="2"/>
              <c:layout>
                <c:manualLayout>
                  <c:x val="6.1458880139982552E-3"/>
                  <c:y val="-2.4600831146106752E-2"/>
                </c:manualLayout>
              </c:layout>
              <c:tx>
                <c:rich>
                  <a:bodyPr/>
                  <a:lstStyle/>
                  <a:p>
                    <a:r>
                      <a:rPr lang="en-US"/>
                      <a:t>13</a:t>
                    </a:r>
                    <a:r>
                      <a:rPr lang="lt-LT"/>
                      <a:t>,2</a:t>
                    </a:r>
                    <a:r>
                      <a:rPr lang="en-US"/>
                      <a:t>%</a:t>
                    </a:r>
                  </a:p>
                </c:rich>
              </c:tx>
              <c:showPercent val="1"/>
            </c:dLbl>
            <c:dLbl>
              <c:idx val="3"/>
              <c:layout>
                <c:manualLayout>
                  <c:x val="-2.0697725284339612E-3"/>
                  <c:y val="2.7633420822397291E-2"/>
                </c:manualLayout>
              </c:layout>
              <c:tx>
                <c:rich>
                  <a:bodyPr/>
                  <a:lstStyle/>
                  <a:p>
                    <a:r>
                      <a:rPr lang="lt-LT"/>
                      <a:t>5,8</a:t>
                    </a:r>
                    <a:r>
                      <a:rPr lang="en-US"/>
                      <a:t>%</a:t>
                    </a:r>
                  </a:p>
                </c:rich>
              </c:tx>
              <c:showPercent val="1"/>
            </c:dLbl>
            <c:dLbl>
              <c:idx val="4"/>
              <c:tx>
                <c:rich>
                  <a:bodyPr/>
                  <a:lstStyle/>
                  <a:p>
                    <a:r>
                      <a:rPr lang="lt-LT"/>
                      <a:t>2,6</a:t>
                    </a:r>
                    <a:r>
                      <a:rPr lang="en-US"/>
                      <a:t>%</a:t>
                    </a:r>
                  </a:p>
                </c:rich>
              </c:tx>
              <c:showPercent val="1"/>
            </c:dLbl>
            <c:dLbl>
              <c:idx val="5"/>
              <c:layout>
                <c:manualLayout>
                  <c:x val="3.0872922134733256E-2"/>
                  <c:y val="1.1724263633712616E-2"/>
                </c:manualLayout>
              </c:layout>
              <c:tx>
                <c:rich>
                  <a:bodyPr/>
                  <a:lstStyle/>
                  <a:p>
                    <a:r>
                      <a:rPr lang="en-US"/>
                      <a:t>7</a:t>
                    </a:r>
                    <a:r>
                      <a:rPr lang="lt-LT"/>
                      <a:t>,1</a:t>
                    </a:r>
                    <a:r>
                      <a:rPr lang="en-US"/>
                      <a:t>%</a:t>
                    </a:r>
                  </a:p>
                </c:rich>
              </c:tx>
              <c:showPercent val="1"/>
            </c:dLbl>
            <c:txPr>
              <a:bodyPr/>
              <a:lstStyle/>
              <a:p>
                <a:pPr>
                  <a:defRPr b="1"/>
                </a:pPr>
                <a:endParaRPr lang="lt-LT"/>
              </a:p>
            </c:txPr>
            <c:showPercent val="1"/>
            <c:showLeaderLines val="1"/>
          </c:dLbls>
          <c:cat>
            <c:strRef>
              <c:f>Sheet3!$B$111:$B$116</c:f>
              <c:strCache>
                <c:ptCount val="6"/>
                <c:pt idx="0">
                  <c:v>Kraujotakos sistemos ligos</c:v>
                </c:pt>
                <c:pt idx="1">
                  <c:v>Piktybiniai navikai</c:v>
                </c:pt>
                <c:pt idx="2">
                  <c:v>Išorinės mirties priežastys</c:v>
                </c:pt>
                <c:pt idx="3">
                  <c:v>Virškinimo sistemos ligos</c:v>
                </c:pt>
                <c:pt idx="4">
                  <c:v>Kvėpavimo sistemos ligos</c:v>
                </c:pt>
                <c:pt idx="5">
                  <c:v>Kitos mirties priežastys</c:v>
                </c:pt>
              </c:strCache>
            </c:strRef>
          </c:cat>
          <c:val>
            <c:numRef>
              <c:f>Sheet3!$C$111:$C$116</c:f>
              <c:numCache>
                <c:formatCode>General</c:formatCode>
                <c:ptCount val="6"/>
                <c:pt idx="0">
                  <c:v>51.8</c:v>
                </c:pt>
                <c:pt idx="1">
                  <c:v>19.5</c:v>
                </c:pt>
                <c:pt idx="2">
                  <c:v>13.2</c:v>
                </c:pt>
                <c:pt idx="3">
                  <c:v>5.8</c:v>
                </c:pt>
                <c:pt idx="4">
                  <c:v>2.6</c:v>
                </c:pt>
                <c:pt idx="5">
                  <c:v>7.1</c:v>
                </c:pt>
              </c:numCache>
            </c:numRef>
          </c:val>
        </c:ser>
        <c:dLbls>
          <c:showPercent val="1"/>
        </c:dLbls>
        <c:firstSliceAng val="0"/>
      </c:pieChart>
    </c:plotArea>
    <c:legend>
      <c:legendPos val="r"/>
      <c:layout>
        <c:manualLayout>
          <c:xMode val="edge"/>
          <c:yMode val="edge"/>
          <c:x val="0.62279927455421136"/>
          <c:y val="0.19957166812481658"/>
          <c:w val="0.33284684470210474"/>
          <c:h val="0.65641221930592009"/>
        </c:manualLayout>
      </c:layout>
      <c:txPr>
        <a:bodyPr/>
        <a:lstStyle/>
        <a:p>
          <a:pPr>
            <a:defRPr sz="1100"/>
          </a:pPr>
          <a:endParaRPr lang="lt-LT"/>
        </a:p>
      </c:txPr>
    </c:legend>
    <c:plotVisOnly val="1"/>
  </c:chart>
  <c:txPr>
    <a:bodyPr/>
    <a:lstStyle/>
    <a:p>
      <a:pPr>
        <a:defRPr>
          <a:latin typeface="Times New Roman" pitchFamily="18" charset="0"/>
          <a:cs typeface="Times New Roman" pitchFamily="18" charset="0"/>
        </a:defRPr>
      </a:pPr>
      <a:endParaRPr lang="lt-LT"/>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lt-LT"/>
  <c:chart>
    <c:plotArea>
      <c:layout>
        <c:manualLayout>
          <c:layoutTarget val="inner"/>
          <c:xMode val="edge"/>
          <c:yMode val="edge"/>
          <c:x val="9.7410751713589483E-2"/>
          <c:y val="0.14373318970307891"/>
          <c:w val="0.32483181328952915"/>
          <c:h val="0.73536843725153656"/>
        </c:manualLayout>
      </c:layout>
      <c:pieChart>
        <c:varyColors val="1"/>
        <c:ser>
          <c:idx val="0"/>
          <c:order val="0"/>
          <c:explosion val="4"/>
          <c:dLbls>
            <c:dLbl>
              <c:idx val="0"/>
              <c:layout>
                <c:manualLayout>
                  <c:x val="1.4914621864127463E-2"/>
                  <c:y val="1.0673665791776027E-2"/>
                </c:manualLayout>
              </c:layout>
              <c:showVal val="1"/>
            </c:dLbl>
            <c:dLbl>
              <c:idx val="1"/>
              <c:layout>
                <c:manualLayout>
                  <c:x val="3.8523164255630828E-3"/>
                  <c:y val="1.3077443333767741E-3"/>
                </c:manualLayout>
              </c:layout>
              <c:showVal val="1"/>
            </c:dLbl>
            <c:dLbl>
              <c:idx val="2"/>
              <c:layout>
                <c:manualLayout>
                  <c:x val="2.3690715986083377E-3"/>
                  <c:y val="-1.5204482418421103E-2"/>
                </c:manualLayout>
              </c:layout>
              <c:showVal val="1"/>
            </c:dLbl>
            <c:dLbl>
              <c:idx val="3"/>
              <c:layout>
                <c:manualLayout>
                  <c:x val="-5.3225141915400108E-3"/>
                  <c:y val="-3.3610692280486216E-3"/>
                </c:manualLayout>
              </c:layout>
              <c:showVal val="1"/>
            </c:dLbl>
            <c:dLbl>
              <c:idx val="4"/>
              <c:layout>
                <c:manualLayout>
                  <c:x val="-8.0002899346885044E-3"/>
                  <c:y val="-3.2394532243753219E-3"/>
                </c:manualLayout>
              </c:layout>
              <c:showVal val="1"/>
            </c:dLbl>
            <c:dLbl>
              <c:idx val="5"/>
              <c:layout>
                <c:manualLayout>
                  <c:x val="4.4990996764939523E-3"/>
                  <c:y val="5.0460713687384825E-3"/>
                </c:manualLayout>
              </c:layout>
              <c:showVal val="1"/>
            </c:dLbl>
            <c:dLbl>
              <c:idx val="6"/>
              <c:layout>
                <c:manualLayout>
                  <c:x val="-2.8917933223463607E-3"/>
                  <c:y val="-1.3327873022964403E-2"/>
                </c:manualLayout>
              </c:layout>
              <c:showVal val="1"/>
            </c:dLbl>
            <c:dLbl>
              <c:idx val="7"/>
              <c:layout>
                <c:manualLayout>
                  <c:x val="2.0378593664164201E-3"/>
                  <c:y val="-2.6772894522936411E-3"/>
                </c:manualLayout>
              </c:layout>
              <c:showVal val="1"/>
            </c:dLbl>
            <c:dLbl>
              <c:idx val="8"/>
              <c:layout>
                <c:manualLayout>
                  <c:x val="3.0295885979369102E-3"/>
                  <c:y val="-1.546508814057829E-3"/>
                </c:manualLayout>
              </c:layout>
              <c:showVal val="1"/>
            </c:dLbl>
            <c:dLbl>
              <c:idx val="9"/>
              <c:layout>
                <c:manualLayout>
                  <c:x val="-6.0365928096197414E-3"/>
                  <c:y val="-4.0803410212022096E-4"/>
                </c:manualLayout>
              </c:layout>
              <c:showVal val="1"/>
            </c:dLbl>
            <c:dLbl>
              <c:idx val="10"/>
              <c:layout>
                <c:manualLayout>
                  <c:x val="-1.1481413660501781E-3"/>
                  <c:y val="-3.4156723317386737E-3"/>
                </c:manualLayout>
              </c:layout>
              <c:showVal val="1"/>
            </c:dLbl>
            <c:dLbl>
              <c:idx val="11"/>
              <c:layout>
                <c:manualLayout>
                  <c:x val="1.0811511933101385E-3"/>
                  <c:y val="7.2331738674509824E-3"/>
                </c:manualLayout>
              </c:layout>
              <c:showVal val="1"/>
            </c:dLbl>
            <c:dLbl>
              <c:idx val="13"/>
              <c:layout>
                <c:manualLayout>
                  <c:x val="3.4477430873466455E-2"/>
                  <c:y val="-2.4511085050538867E-2"/>
                </c:manualLayout>
              </c:layout>
              <c:showVal val="1"/>
            </c:dLbl>
            <c:txPr>
              <a:bodyPr/>
              <a:lstStyle/>
              <a:p>
                <a:pPr>
                  <a:defRPr b="1">
                    <a:latin typeface="Times New Roman" pitchFamily="18" charset="0"/>
                    <a:cs typeface="Times New Roman" pitchFamily="18" charset="0"/>
                  </a:defRPr>
                </a:pPr>
                <a:endParaRPr lang="lt-LT"/>
              </a:p>
            </c:txPr>
            <c:showVal val="1"/>
            <c:showLeaderLines val="1"/>
          </c:dLbls>
          <c:cat>
            <c:strRef>
              <c:f>Sheet1!$B$95:$B$108</c:f>
              <c:strCache>
                <c:ptCount val="14"/>
                <c:pt idx="0">
                  <c:v>Kvėpavimo sistemos ligos</c:v>
                </c:pt>
                <c:pt idx="1">
                  <c:v>Kraujotakos sistemos ligos</c:v>
                </c:pt>
                <c:pt idx="2">
                  <c:v>Virškinimo sistemos ligos</c:v>
                </c:pt>
                <c:pt idx="3">
                  <c:v>Jungiamojo audinio ir skeleto-raumenų ligos</c:v>
                </c:pt>
                <c:pt idx="4">
                  <c:v>Traumos ir apsinuodijimai</c:v>
                </c:pt>
                <c:pt idx="5">
                  <c:v>Akies ir jos priedinių organų ligos</c:v>
                </c:pt>
                <c:pt idx="6">
                  <c:v>Urogenitalinės sistemos ligos</c:v>
                </c:pt>
                <c:pt idx="7">
                  <c:v>Odos ir poodžio ligos</c:v>
                </c:pt>
                <c:pt idx="8">
                  <c:v>Endokrininės, mitybos ir medžiagų apykaitos ligos</c:v>
                </c:pt>
                <c:pt idx="9">
                  <c:v>Psichikos ir elgesio sutrikimai</c:v>
                </c:pt>
                <c:pt idx="10">
                  <c:v>Nervų sistemos ligos</c:v>
                </c:pt>
                <c:pt idx="11">
                  <c:v>Infekcinės ir parazitinės ligos</c:v>
                </c:pt>
                <c:pt idx="12">
                  <c:v>Navikai</c:v>
                </c:pt>
                <c:pt idx="13">
                  <c:v>Kitos ligos</c:v>
                </c:pt>
              </c:strCache>
            </c:strRef>
          </c:cat>
          <c:val>
            <c:numRef>
              <c:f>Sheet1!$C$95:$C$108</c:f>
              <c:numCache>
                <c:formatCode>General</c:formatCode>
                <c:ptCount val="14"/>
                <c:pt idx="0">
                  <c:v>16.5</c:v>
                </c:pt>
                <c:pt idx="1">
                  <c:v>11.2</c:v>
                </c:pt>
                <c:pt idx="2">
                  <c:v>10.3</c:v>
                </c:pt>
                <c:pt idx="3">
                  <c:v>8.9</c:v>
                </c:pt>
                <c:pt idx="4">
                  <c:v>7.1</c:v>
                </c:pt>
                <c:pt idx="5">
                  <c:v>6.6</c:v>
                </c:pt>
                <c:pt idx="6">
                  <c:v>6.6</c:v>
                </c:pt>
                <c:pt idx="7">
                  <c:v>4.9000000000000004</c:v>
                </c:pt>
                <c:pt idx="8">
                  <c:v>4.5999999999999996</c:v>
                </c:pt>
                <c:pt idx="9">
                  <c:v>3.9</c:v>
                </c:pt>
                <c:pt idx="10">
                  <c:v>3.6</c:v>
                </c:pt>
                <c:pt idx="11">
                  <c:v>3.4</c:v>
                </c:pt>
                <c:pt idx="12">
                  <c:v>2.8</c:v>
                </c:pt>
                <c:pt idx="13">
                  <c:v>9.7000000000000011</c:v>
                </c:pt>
              </c:numCache>
            </c:numRef>
          </c:val>
        </c:ser>
        <c:firstSliceAng val="0"/>
      </c:pieChart>
    </c:plotArea>
    <c:legend>
      <c:legendPos val="r"/>
      <c:layout>
        <c:manualLayout>
          <c:xMode val="edge"/>
          <c:yMode val="edge"/>
          <c:x val="0.52267754300496549"/>
          <c:y val="8.8502569100687933E-2"/>
          <c:w val="0.46569459393115431"/>
          <c:h val="0.83917617789632959"/>
        </c:manualLayout>
      </c:layout>
      <c:txPr>
        <a:bodyPr/>
        <a:lstStyle/>
        <a:p>
          <a:pPr>
            <a:defRPr sz="1100">
              <a:latin typeface="Times New Roman" pitchFamily="18" charset="0"/>
              <a:cs typeface="Times New Roman" pitchFamily="18" charset="0"/>
            </a:defRPr>
          </a:pPr>
          <a:endParaRPr lang="lt-LT"/>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97065-F47D-454D-9845-AC8A45849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44780</Words>
  <Characters>25525</Characters>
  <Application>Microsoft Office Word</Application>
  <DocSecurity>0</DocSecurity>
  <Lines>212</Lines>
  <Paragraphs>140</Paragraphs>
  <ScaleCrop>false</ScaleCrop>
  <HeadingPairs>
    <vt:vector size="2" baseType="variant">
      <vt:variant>
        <vt:lpstr>Title</vt:lpstr>
      </vt:variant>
      <vt:variant>
        <vt:i4>1</vt:i4>
      </vt:variant>
    </vt:vector>
  </HeadingPairs>
  <TitlesOfParts>
    <vt:vector size="1" baseType="lpstr">
      <vt:lpstr/>
    </vt:vector>
  </TitlesOfParts>
  <Company>Sveikata</Company>
  <LinksUpToDate>false</LinksUpToDate>
  <CharactersWithSpaces>70165</CharactersWithSpaces>
  <SharedDoc>false</SharedDoc>
  <HLinks>
    <vt:vector size="36" baseType="variant">
      <vt:variant>
        <vt:i4>1179743</vt:i4>
      </vt:variant>
      <vt:variant>
        <vt:i4>15</vt:i4>
      </vt:variant>
      <vt:variant>
        <vt:i4>0</vt:i4>
      </vt:variant>
      <vt:variant>
        <vt:i4>5</vt:i4>
      </vt:variant>
      <vt:variant>
        <vt:lpwstr>http://lt.wikipedia.org/wiki/Sistema</vt:lpwstr>
      </vt:variant>
      <vt:variant>
        <vt:lpwstr/>
      </vt:variant>
      <vt:variant>
        <vt:i4>6160449</vt:i4>
      </vt:variant>
      <vt:variant>
        <vt:i4>12</vt:i4>
      </vt:variant>
      <vt:variant>
        <vt:i4>0</vt:i4>
      </vt:variant>
      <vt:variant>
        <vt:i4>5</vt:i4>
      </vt:variant>
      <vt:variant>
        <vt:lpwstr>http://lt.wikipedia.org/w/index.php?title=Sveikatinimas&amp;action=edit&amp;redlink=1</vt:lpwstr>
      </vt:variant>
      <vt:variant>
        <vt:lpwstr/>
      </vt:variant>
      <vt:variant>
        <vt:i4>2031697</vt:i4>
      </vt:variant>
      <vt:variant>
        <vt:i4>9</vt:i4>
      </vt:variant>
      <vt:variant>
        <vt:i4>0</vt:i4>
      </vt:variant>
      <vt:variant>
        <vt:i4>5</vt:i4>
      </vt:variant>
      <vt:variant>
        <vt:lpwstr>http://lt.wikipedia.org/wiki/Sveikata</vt:lpwstr>
      </vt:variant>
      <vt:variant>
        <vt:lpwstr/>
      </vt:variant>
      <vt:variant>
        <vt:i4>6946852</vt:i4>
      </vt:variant>
      <vt:variant>
        <vt:i4>6</vt:i4>
      </vt:variant>
      <vt:variant>
        <vt:i4>0</vt:i4>
      </vt:variant>
      <vt:variant>
        <vt:i4>5</vt:i4>
      </vt:variant>
      <vt:variant>
        <vt:lpwstr>http://www.aplinka.vilnius.lt/</vt:lpwstr>
      </vt:variant>
      <vt:variant>
        <vt:lpwstr/>
      </vt:variant>
      <vt:variant>
        <vt:i4>8060956</vt:i4>
      </vt:variant>
      <vt:variant>
        <vt:i4>3</vt:i4>
      </vt:variant>
      <vt:variant>
        <vt:i4>0</vt:i4>
      </vt:variant>
      <vt:variant>
        <vt:i4>5</vt:i4>
      </vt:variant>
      <vt:variant>
        <vt:lpwstr>http://www.vv.lt/lt/vandens_kokybe/zemelapis.php</vt:lpwstr>
      </vt:variant>
      <vt:variant>
        <vt:lpwstr/>
      </vt:variant>
      <vt:variant>
        <vt:i4>7602216</vt:i4>
      </vt:variant>
      <vt:variant>
        <vt:i4>0</vt:i4>
      </vt:variant>
      <vt:variant>
        <vt:i4>0</vt:i4>
      </vt:variant>
      <vt:variant>
        <vt:i4>5</vt:i4>
      </vt:variant>
      <vt:variant>
        <vt:lpwstr>http://www.vvsb.lt/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Aplinka</dc:creator>
  <cp:lastModifiedBy>Aplinka</cp:lastModifiedBy>
  <cp:revision>5</cp:revision>
  <dcterms:created xsi:type="dcterms:W3CDTF">2012-01-04T12:20:00Z</dcterms:created>
  <dcterms:modified xsi:type="dcterms:W3CDTF">2012-01-09T15:51:00Z</dcterms:modified>
</cp:coreProperties>
</file>